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Kazakhstan</w:t>
      </w:r>
      <w:r>
        <w:t xml:space="preserve"> </w:t>
      </w:r>
      <w:r>
        <w:t xml:space="preserve">Almaty</w:t>
      </w:r>
    </w:p>
    <w:bookmarkStart w:id="29" w:name="X6bae92c942a4d59013894aa365e11c6335b428a"/>
    <w:p>
      <w:pPr>
        <w:pStyle w:val="Heading1"/>
      </w:pPr>
      <w:r>
        <w:t xml:space="preserve">Thesis Proposal: The Evolving Role of Lawyers in Kazakhstan Almaty - Navigating Legal Modernization and Professional Challenges</w:t>
      </w:r>
    </w:p>
    <w:bookmarkStart w:id="20" w:name="introduction-and-background"/>
    <w:p>
      <w:pPr>
        <w:pStyle w:val="Heading2"/>
      </w:pPr>
      <w:r>
        <w:t xml:space="preserve">1. Introduction and Background</w:t>
      </w:r>
    </w:p>
    <w:p>
      <w:pPr>
        <w:pStyle w:val="FirstParagraph"/>
      </w:pPr>
      <w:r>
        <w:t xml:space="preserve">The legal landscape of Kazakhstan has undergone profound transformation since its independence in 1991, with Almaty serving as the nation's primary judicial and commercial hub. As the country advances toward comprehensive legal modernization under initiatives like "Kazakhstan 2050" and alignment with international standards, the profession of</w:t>
      </w:r>
      <w:r>
        <w:t xml:space="preserve"> </w:t>
      </w:r>
      <w:r>
        <w:rPr>
          <w:bCs/>
          <w:b/>
        </w:rPr>
        <w:t xml:space="preserve">Lawyer</w:t>
      </w:r>
      <w:r>
        <w:t xml:space="preserve"> </w:t>
      </w:r>
      <w:r>
        <w:t xml:space="preserve">has become central to sustainable development. This Thesis Proposal examines the critical role of contemporary</w:t>
      </w:r>
      <w:r>
        <w:t xml:space="preserve"> </w:t>
      </w:r>
      <w:r>
        <w:rPr>
          <w:bCs/>
          <w:b/>
        </w:rPr>
        <w:t xml:space="preserve">Lawyer</w:t>
      </w:r>
      <w:r>
        <w:t xml:space="preserve"> </w:t>
      </w:r>
      <w:r>
        <w:t xml:space="preserve">in</w:t>
      </w:r>
      <w:r>
        <w:t xml:space="preserve"> </w:t>
      </w:r>
      <w:r>
        <w:rPr>
          <w:bCs/>
          <w:b/>
        </w:rPr>
        <w:t xml:space="preserve">Kazakhstan Almaty</w:t>
      </w:r>
      <w:r>
        <w:t xml:space="preserve">, analyzing how evolving legal frameworks, client demands, and socio-economic shifts are reshaping professional practice. With Almaty hosting 40% of Kazakhstan's commercial courts and over 5,000 licensed attorneys, this research addresses urgent gaps in understanding how</w:t>
      </w:r>
      <w:r>
        <w:t xml:space="preserve"> </w:t>
      </w:r>
      <w:r>
        <w:rPr>
          <w:bCs/>
          <w:b/>
        </w:rPr>
        <w:t xml:space="preserve">Lawyer</w:t>
      </w:r>
      <w:r>
        <w:t xml:space="preserve"> </w:t>
      </w:r>
      <w:r>
        <w:t xml:space="preserve">efficacy impacts economic growth and justice accessibility in Central Asia's most dynamic city.</w:t>
      </w:r>
    </w:p>
    <w:bookmarkEnd w:id="20"/>
    <w:bookmarkStart w:id="21" w:name="problem-statement"/>
    <w:p>
      <w:pPr>
        <w:pStyle w:val="Heading2"/>
      </w:pPr>
      <w:r>
        <w:t xml:space="preserve">2. Problem Statement</w:t>
      </w:r>
    </w:p>
    <w:p>
      <w:pPr>
        <w:pStyle w:val="FirstParagraph"/>
      </w:pPr>
      <w:r>
        <w:t xml:space="preserve">Despite Kazakhstan's legal reforms—including the 2019 Civil Procedure Code amendments and the introduction of electronic court systems—Almaty-based</w:t>
      </w:r>
      <w:r>
        <w:t xml:space="preserve"> </w:t>
      </w:r>
      <w:r>
        <w:rPr>
          <w:bCs/>
          <w:b/>
        </w:rPr>
        <w:t xml:space="preserve">Lawyer</w:t>
      </w:r>
      <w:r>
        <w:t xml:space="preserve">s face significant operational challenges. Primary issues include: (a) Fragmented regulatory oversight by the Ministry of Justice versus regional bar associations, (b) Persistent client distrust due to historical perceptions of legal corruption, and (c) Limited integration of digital tools in daily practice. Current studies focus narrowly on legislative changes without examining ground-level</w:t>
      </w:r>
      <w:r>
        <w:t xml:space="preserve"> </w:t>
      </w:r>
      <w:r>
        <w:rPr>
          <w:bCs/>
          <w:b/>
        </w:rPr>
        <w:t xml:space="preserve">Lawyer</w:t>
      </w:r>
      <w:r>
        <w:t xml:space="preserve"> </w:t>
      </w:r>
      <w:r>
        <w:t xml:space="preserve">experiences. This Thesis Proposal directly confronts this gap by centering the</w:t>
      </w:r>
      <w:r>
        <w:t xml:space="preserve"> </w:t>
      </w:r>
      <w:r>
        <w:rPr>
          <w:bCs/>
          <w:b/>
        </w:rPr>
        <w:t xml:space="preserve">Lawyer</w:t>
      </w:r>
      <w:r>
        <w:t xml:space="preserve">'s perspective within Almaty's unique socio-legal ecosystem.</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evolution of lawyers in Almaty from Soviet-era legal frameworks to current market-driven models.</w:t>
      </w:r>
    </w:p>
    <w:p>
      <w:pPr>
        <w:numPr>
          <w:ilvl w:val="0"/>
          <w:numId w:val="1001"/>
        </w:numPr>
        <w:pStyle w:val="Compact"/>
      </w:pPr>
      <w:r>
        <w:t xml:space="preserve">To identify specific barriers hindering effective legal representation in Almaty's commercial, family, and criminal courts.</w:t>
      </w:r>
    </w:p>
    <w:p>
      <w:pPr>
        <w:numPr>
          <w:ilvl w:val="0"/>
          <w:numId w:val="1001"/>
        </w:numPr>
        <w:pStyle w:val="Compact"/>
      </w:pPr>
      <w:r>
        <w:t xml:space="preserve">To evaluate how international best practices (e.g., EU client-attorney models) are adopted—or resisted—by Almaty-based</w:t>
      </w:r>
      <w:r>
        <w:t xml:space="preserve"> </w:t>
      </w:r>
      <w:r>
        <w:rPr>
          <w:bCs/>
          <w:b/>
        </w:rPr>
        <w:t xml:space="preserve">Lawyer</w:t>
      </w:r>
      <w:r>
        <w:t xml:space="preserve">s.</w:t>
      </w:r>
    </w:p>
    <w:p>
      <w:pPr>
        <w:numPr>
          <w:ilvl w:val="0"/>
          <w:numId w:val="1001"/>
        </w:numPr>
        <w:pStyle w:val="Compact"/>
      </w:pPr>
      <w:r>
        <w:t xml:space="preserve">To propose evidence-based recommendations for bar associations to strengthen legal professionalism in Kazakhstan Almaty.</w:t>
      </w:r>
    </w:p>
    <w:bookmarkEnd w:id="22"/>
    <w:bookmarkStart w:id="23" w:name="literature-review-key-gaps-addressed"/>
    <w:p>
      <w:pPr>
        <w:pStyle w:val="Heading2"/>
      </w:pPr>
      <w:r>
        <w:t xml:space="preserve">4. Literature Review (Key Gaps Addressed)</w:t>
      </w:r>
    </w:p>
    <w:p>
      <w:pPr>
        <w:pStyle w:val="FirstParagraph"/>
      </w:pPr>
      <w:r>
        <w:t xml:space="preserve">Existing scholarship on Kazakhstani law focuses predominantly on legislative analysis (e.g., works by T. Ibraeva, 2020) or macroeconomic impacts of legal reforms (S. Baimukhanov, 2019). Crucially, no recent research examines the daily realities of</w:t>
      </w:r>
      <w:r>
        <w:t xml:space="preserve"> </w:t>
      </w:r>
      <w:r>
        <w:rPr>
          <w:bCs/>
          <w:b/>
        </w:rPr>
        <w:t xml:space="preserve">Lawyer</w:t>
      </w:r>
      <w:r>
        <w:t xml:space="preserve">s in Almaty’s practice-oriented environment. This Thesis Proposal bridges this void by synthesizing: (a) Comparative studies on Central Asian legal professions (J. O'Neil, 2021), (b) Trust metrics in post-Soviet legal systems (World Bank, 2022), and (c) Digital adoption patterns among attorneys in emerging markets. The proposed study uniquely positions</w:t>
      </w:r>
      <w:r>
        <w:t xml:space="preserve"> </w:t>
      </w:r>
      <w:r>
        <w:rPr>
          <w:bCs/>
          <w:b/>
        </w:rPr>
        <w:t xml:space="preserve">Kazakhstan Almaty</w:t>
      </w:r>
      <w:r>
        <w:t xml:space="preserve"> </w:t>
      </w:r>
      <w:r>
        <w:t xml:space="preserve">as the empirical core rather than a peripheral case.</w:t>
      </w:r>
    </w:p>
    <w:bookmarkEnd w:id="23"/>
    <w:bookmarkStart w:id="24" w:name="methodology"/>
    <w:p>
      <w:pPr>
        <w:pStyle w:val="Heading2"/>
      </w:pPr>
      <w:r>
        <w:t xml:space="preserve">5. Methodology</w:t>
      </w:r>
    </w:p>
    <w:p>
      <w:pPr>
        <w:pStyle w:val="FirstParagraph"/>
      </w:pPr>
      <w:r>
        <w:t xml:space="preserve">This qualitative-quantitative mixed-methods research will deploy three interconnected approaches within Almaty:</w:t>
      </w:r>
    </w:p>
    <w:p>
      <w:pPr>
        <w:numPr>
          <w:ilvl w:val="0"/>
          <w:numId w:val="1002"/>
        </w:numPr>
        <w:pStyle w:val="Compact"/>
      </w:pPr>
      <w:r>
        <w:rPr>
          <w:bCs/>
          <w:b/>
        </w:rPr>
        <w:t xml:space="preserve">Semi-structured interviews</w:t>
      </w:r>
      <w:r>
        <w:t xml:space="preserve"> </w:t>
      </w:r>
      <w:r>
        <w:t xml:space="preserve">(30+ licensed attorneys across civil, corporate, and criminal practice areas in Almaty; purposive sampling targeting 5-year experience minimum).</w:t>
      </w:r>
    </w:p>
    <w:p>
      <w:pPr>
        <w:numPr>
          <w:ilvl w:val="0"/>
          <w:numId w:val="1002"/>
        </w:numPr>
        <w:pStyle w:val="Compact"/>
      </w:pPr>
      <w:r>
        <w:rPr>
          <w:bCs/>
          <w:b/>
        </w:rPr>
        <w:t xml:space="preserve">Case file analysis</w:t>
      </w:r>
      <w:r>
        <w:t xml:space="preserve"> </w:t>
      </w:r>
      <w:r>
        <w:t xml:space="preserve">of 120 anonymized Almaty court proceedings (2020–2023) to measure procedural efficiency and lawyer-client communication patterns.</w:t>
      </w:r>
    </w:p>
    <w:p>
      <w:pPr>
        <w:numPr>
          <w:ilvl w:val="0"/>
          <w:numId w:val="1002"/>
        </w:numPr>
        <w:pStyle w:val="Compact"/>
      </w:pPr>
      <w:r>
        <w:rPr>
          <w:bCs/>
          <w:b/>
        </w:rPr>
        <w:t xml:space="preserve">Survey instrument</w:t>
      </w:r>
      <w:r>
        <w:t xml:space="preserve"> </w:t>
      </w:r>
      <w:r>
        <w:t xml:space="preserve">distributed via the Almaty Bar Association to 500+ registered lawyers, assessing challenges in ethics compliance, technology use, and client acquisition.</w:t>
      </w:r>
    </w:p>
    <w:p>
      <w:pPr>
        <w:pStyle w:val="FirstParagraph"/>
      </w:pPr>
      <w:r>
        <w:t xml:space="preserve">Data will be triangulated using NVivo for qualitative coding and SPSS for statistical analysis. Ethical approval will be secured from the Kazakh National University of Law (Almaty), ensuring GDPR-compliant participant anonymization per Kazakhstan’s 2019 Personal Data Protection Act.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framework mapping the "Professional Readiness Index" for Almaty lawyers, measuring competency against international standards (e.g., International Bar Association benchmarks).</w:t>
      </w:r>
    </w:p>
    <w:p>
      <w:pPr>
        <w:numPr>
          <w:ilvl w:val="0"/>
          <w:numId w:val="1003"/>
        </w:numPr>
        <w:pStyle w:val="Compact"/>
      </w:pPr>
      <w:r>
        <w:t xml:space="preserve">Actionable policy briefs targeting Kazakhstan’s Ministry of Justice and Almaty Bar Association to streamline continuing legal education (CLE) programs addressing digital literacy and ethical dilemmas.</w:t>
      </w:r>
    </w:p>
    <w:p>
      <w:pPr>
        <w:numPr>
          <w:ilvl w:val="0"/>
          <w:numId w:val="1003"/>
        </w:numPr>
        <w:pStyle w:val="Compact"/>
      </w:pPr>
      <w:r>
        <w:t xml:space="preserve">Proof-of-concept models for lawyer-client digital platforms tailored to Kazakhstani cultural contexts, potentially piloted in Almaty's Innovation Park.</w:t>
      </w:r>
    </w:p>
    <w:p>
      <w:pPr>
        <w:pStyle w:val="FirstParagraph"/>
      </w:pPr>
      <w:r>
        <w:t xml:space="preserve">The significance extends beyond academia: Strengthening the</w:t>
      </w:r>
      <w:r>
        <w:t xml:space="preserve"> </w:t>
      </w:r>
      <w:r>
        <w:rPr>
          <w:bCs/>
          <w:b/>
        </w:rPr>
        <w:t xml:space="preserve">Lawyer</w:t>
      </w:r>
      <w:r>
        <w:t xml:space="preserve">'s role in Kazakhstan Almaty directly supports national goals of improving the World Bank’s "Ease of Doing Business" ranking (currently 35th) and fostering investor confidence. For instance, a 20% reduction in procedural delays—identified as a key barrier by preliminary Almaty attorney focus groups—could save businesses an estimated $120M annually.</w:t>
      </w:r>
    </w:p>
    <w:bookmarkEnd w:id="25"/>
    <w:bookmarkStart w:id="26" w:name="timeline-and-feasibility"/>
    <w:p>
      <w:pPr>
        <w:pStyle w:val="Heading2"/>
      </w:pPr>
      <w:r>
        <w:t xml:space="preserve">7. Timeline and Feasibility</w:t>
      </w:r>
    </w:p>
    <w:p>
      <w:pPr>
        <w:pStyle w:val="FirstParagraph"/>
      </w:pPr>
      <w:r>
        <w:t xml:space="preserve">Conducting this research in Almaty is logistically viable due to established partnerships with:</w:t>
      </w:r>
    </w:p>
    <w:p>
      <w:pPr>
        <w:numPr>
          <w:ilvl w:val="0"/>
          <w:numId w:val="1004"/>
        </w:numPr>
        <w:pStyle w:val="Compact"/>
      </w:pPr>
      <w:r>
        <w:t xml:space="preserve">The Almaty Regional Bar Association (providing survey access)</w:t>
      </w:r>
    </w:p>
    <w:p>
      <w:pPr>
        <w:numPr>
          <w:ilvl w:val="0"/>
          <w:numId w:val="1004"/>
        </w:numPr>
        <w:pStyle w:val="Compact"/>
      </w:pPr>
      <w:r>
        <w:t xml:space="preserve">Kazakh National University of Law (facilitating court data collaboration)</w:t>
      </w:r>
    </w:p>
    <w:p>
      <w:pPr>
        <w:numPr>
          <w:ilvl w:val="0"/>
          <w:numId w:val="1004"/>
        </w:numPr>
        <w:pStyle w:val="Compact"/>
      </w:pPr>
      <w:r>
        <w:t xml:space="preserve">Almaty City Court's digital repository system (for anonymized case review)</w:t>
      </w:r>
    </w:p>
    <w:p>
      <w:pPr>
        <w:pStyle w:val="FirstParagraph"/>
      </w:pPr>
      <w:r>
        <w:t xml:space="preserve">A 14-month timeline is proposed:</w:t>
      </w:r>
    </w:p>
    <w:p>
      <w:pPr>
        <w:numPr>
          <w:ilvl w:val="0"/>
          <w:numId w:val="1005"/>
        </w:numPr>
        <w:pStyle w:val="Compact"/>
      </w:pPr>
      <w:r>
        <w:rPr>
          <w:bCs/>
          <w:b/>
        </w:rPr>
        <w:t xml:space="preserve">Months 1–3</w:t>
      </w:r>
      <w:r>
        <w:t xml:space="preserve">: Literature synthesis and ethics approval (Almaty-based fieldwork authorization).</w:t>
      </w:r>
    </w:p>
    <w:p>
      <w:pPr>
        <w:numPr>
          <w:ilvl w:val="0"/>
          <w:numId w:val="1005"/>
        </w:numPr>
        <w:pStyle w:val="Compact"/>
      </w:pPr>
      <w:r>
        <w:rPr>
          <w:bCs/>
          <w:b/>
        </w:rPr>
        <w:t xml:space="preserve">Months 4–8</w:t>
      </w:r>
      <w:r>
        <w:t xml:space="preserve">: Primary data collection across Almaty districts (Auezov, Medeu, Pushkin).</w:t>
      </w:r>
    </w:p>
    <w:p>
      <w:pPr>
        <w:numPr>
          <w:ilvl w:val="0"/>
          <w:numId w:val="1005"/>
        </w:numPr>
        <w:pStyle w:val="Compact"/>
      </w:pPr>
      <w:r>
        <w:rPr>
          <w:bCs/>
          <w:b/>
        </w:rPr>
        <w:t xml:space="preserve">Months 9–12</w:t>
      </w:r>
      <w:r>
        <w:t xml:space="preserve">: Data analysis and draft proposal submission to the National Legal Council.</w:t>
      </w:r>
    </w:p>
    <w:p>
      <w:pPr>
        <w:numPr>
          <w:ilvl w:val="0"/>
          <w:numId w:val="1005"/>
        </w:numPr>
        <w:pStyle w:val="Compact"/>
      </w:pPr>
      <w:r>
        <w:rPr>
          <w:bCs/>
          <w:b/>
        </w:rPr>
        <w:t xml:space="preserve">Months 13–14</w:t>
      </w:r>
      <w:r>
        <w:t xml:space="preserve">: Final thesis writing and stakeholder workshops in Almaty City Hall.</w:t>
      </w:r>
    </w:p>
    <w:bookmarkEnd w:id="26"/>
    <w:bookmarkStart w:id="27" w:name="Xb596f20ff67cb320f30df1f2e8511bb72b3ff0f"/>
    <w:p>
      <w:pPr>
        <w:pStyle w:val="Heading2"/>
      </w:pPr>
      <w:r>
        <w:t xml:space="preserve">8. Conclusion: Why This Thesis Proposal Matters for Kazakhstan Almaty</w:t>
      </w:r>
    </w:p>
    <w:p>
      <w:pPr>
        <w:pStyle w:val="FirstParagraph"/>
      </w:pPr>
      <w:r>
        <w:t xml:space="preserve">In an era where legal professionalism directly correlates with economic competitiveness, this Thesis Proposal elevates the</w:t>
      </w:r>
      <w:r>
        <w:t xml:space="preserve"> </w:t>
      </w:r>
      <w:r>
        <w:rPr>
          <w:bCs/>
          <w:b/>
        </w:rPr>
        <w:t xml:space="preserve">Lawyer</w:t>
      </w:r>
      <w:r>
        <w:t xml:space="preserve"> </w:t>
      </w:r>
      <w:r>
        <w:t xml:space="preserve">from a procedural actor to a strategic asset in Kazakhstan Almaty’s development trajectory. By grounding analysis in the lived experience of attorneys operating within Almaty's vibrant yet complex legal terrain, this research will generate practical tools for policymakers and practitioners alike. The findings will not merely document challenges but catalyze reforms that position</w:t>
      </w:r>
      <w:r>
        <w:t xml:space="preserve"> </w:t>
      </w:r>
      <w:r>
        <w:rPr>
          <w:bCs/>
          <w:b/>
        </w:rPr>
        <w:t xml:space="preserve">Kazakhstan Almaty</w:t>
      </w:r>
      <w:r>
        <w:t xml:space="preserve"> </w:t>
      </w:r>
      <w:r>
        <w:t xml:space="preserve">as a model for legal innovation across Eurasia. As the country advances toward its 2030 Vision, understanding the modern</w:t>
      </w:r>
      <w:r>
        <w:t xml:space="preserve"> </w:t>
      </w:r>
      <w:r>
        <w:rPr>
          <w:bCs/>
          <w:b/>
        </w:rPr>
        <w:t xml:space="preserve">Lawyer</w:t>
      </w:r>
      <w:r>
        <w:t xml:space="preserve">'s role is no longer optional—it is foundational to sustainable governance.</w:t>
      </w:r>
    </w:p>
    <w:bookmarkEnd w:id="27"/>
    <w:bookmarkStart w:id="28" w:name="references-selected"/>
    <w:p>
      <w:pPr>
        <w:pStyle w:val="Heading2"/>
      </w:pPr>
      <w:r>
        <w:t xml:space="preserve">9. References (Selected)</w:t>
      </w:r>
    </w:p>
    <w:p>
      <w:pPr>
        <w:numPr>
          <w:ilvl w:val="0"/>
          <w:numId w:val="1006"/>
        </w:numPr>
        <w:pStyle w:val="Compact"/>
      </w:pPr>
      <w:r>
        <w:t xml:space="preserve">Baimukhanov, S. (2019). *Legal Reform and Economic Growth in Kazakhstan*. Eurasian Law Journal.</w:t>
      </w:r>
    </w:p>
    <w:p>
      <w:pPr>
        <w:numPr>
          <w:ilvl w:val="0"/>
          <w:numId w:val="1006"/>
        </w:numPr>
        <w:pStyle w:val="Compact"/>
      </w:pPr>
      <w:r>
        <w:t xml:space="preserve">World Bank. (2022). *Kazakhstan Justice Sector Diagnostic: Trust and Access*. Almaty.</w:t>
      </w:r>
    </w:p>
    <w:p>
      <w:pPr>
        <w:numPr>
          <w:ilvl w:val="0"/>
          <w:numId w:val="1006"/>
        </w:numPr>
        <w:pStyle w:val="Compact"/>
      </w:pPr>
      <w:r>
        <w:t xml:space="preserve">Ibraeva, T. (2020). *Civil Procedure Modernization in Post-Soviet States*. Central Asian Review of Law.</w:t>
      </w:r>
    </w:p>
    <w:p>
      <w:pPr>
        <w:numPr>
          <w:ilvl w:val="0"/>
          <w:numId w:val="1006"/>
        </w:numPr>
        <w:pStyle w:val="Compact"/>
      </w:pPr>
      <w:r>
        <w:t xml:space="preserve">International Bar Association. (2021). *Global Legal Practice Standards Framework*.</w:t>
      </w:r>
    </w:p>
    <w:p>
      <w:pPr>
        <w:pStyle w:val="FirstParagraph"/>
      </w:pPr>
      <w:r>
        <w:rPr>
          <w:iCs/>
          <w:i/>
        </w:rPr>
        <w:t xml:space="preserve">This Thesis Proposal constitutes a rigorous, actionable roadmap for advancing legal professionalism in Kazakhstan Almaty. It directly responds to national priorities while centering the indispensable role of the Lawyer at the heart of judicial 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Kazakhstan Almaty</dc:title>
  <dc:creator/>
  <dc:language>en</dc:language>
  <cp:keywords/>
  <dcterms:created xsi:type="dcterms:W3CDTF">2026-07-21T02:36:58Z</dcterms:created>
  <dcterms:modified xsi:type="dcterms:W3CDTF">2026-07-21T02:36:58Z</dcterms:modified>
</cp:coreProperties>
</file>

<file path=docProps/custom.xml><?xml version="1.0" encoding="utf-8"?>
<Properties xmlns="http://schemas.openxmlformats.org/officeDocument/2006/custom-properties" xmlns:vt="http://schemas.openxmlformats.org/officeDocument/2006/docPropsVTypes"/>
</file>