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Nairobi,</w:t>
      </w:r>
      <w:r>
        <w:t xml:space="preserve"> </w:t>
      </w:r>
      <w:r>
        <w:t xml:space="preserve">Kenya</w:t>
      </w:r>
    </w:p>
    <w:bookmarkStart w:id="29" w:name="X3551082342fbfcb3cc5db28427b56f2f5197d77"/>
    <w:p>
      <w:pPr>
        <w:pStyle w:val="Heading1"/>
      </w:pPr>
      <w:r>
        <w:t xml:space="preserve">Thesis Proposal: The Evolving Role of the Lawyer in Modern Urban Legal Practice – A Case Study of Nairobi, Kenya</w:t>
      </w:r>
    </w:p>
    <w:bookmarkStart w:id="20" w:name="introduction-and-background"/>
    <w:p>
      <w:pPr>
        <w:pStyle w:val="Heading2"/>
      </w:pPr>
      <w:r>
        <w:t xml:space="preserve">1. Introduction and Background</w:t>
      </w:r>
    </w:p>
    <w:p>
      <w:pPr>
        <w:pStyle w:val="FirstParagraph"/>
      </w:pPr>
      <w:r>
        <w:t xml:space="preserve">The legal profession in Kenya stands at a critical inflection point, with Nairobi—Africa’s largest city and the nation’s economic hub—serving as both the epicenter of legal innovation and a testing ground for systemic challenges. As urbanization accelerates in Kenya Nairobi, the demand for equitable and efficient justice services has surged, placing unprecedented pressure on lawyers to adapt to complex socio-legal landscapes. This thesis proposal examines how contemporary</w:t>
      </w:r>
      <w:r>
        <w:t xml:space="preserve"> </w:t>
      </w:r>
      <w:r>
        <w:rPr>
          <w:bCs/>
          <w:b/>
        </w:rPr>
        <w:t xml:space="preserve">Lawyer</w:t>
      </w:r>
      <w:r>
        <w:t xml:space="preserve">s in Nairobi navigate institutional constraints, technological disruptions, and evolving client expectations while upholding the rule of law. With Kenya’s judiciary grappling with a backlog exceeding 1 million cases and Nairobi housing over 45% of the nation’s legal practitioners (Kenya Law Reform Commission, 2022), this research addresses a pressing gap in understanding how individual</w:t>
      </w:r>
      <w:r>
        <w:t xml:space="preserve"> </w:t>
      </w:r>
      <w:r>
        <w:rPr>
          <w:bCs/>
          <w:b/>
        </w:rPr>
        <w:t xml:space="preserve">Lawyer</w:t>
      </w:r>
      <w:r>
        <w:t xml:space="preserve">s contribute to—or are hindered by—the structural realities of urban justice delivery in Kenya Nairobi.</w:t>
      </w:r>
    </w:p>
    <w:bookmarkEnd w:id="20"/>
    <w:bookmarkStart w:id="21" w:name="problem-statement"/>
    <w:p>
      <w:pPr>
        <w:pStyle w:val="Heading2"/>
      </w:pPr>
      <w:r>
        <w:t xml:space="preserve">2. Problem Statement</w:t>
      </w:r>
    </w:p>
    <w:p>
      <w:pPr>
        <w:pStyle w:val="FirstParagraph"/>
      </w:pPr>
      <w:r>
        <w:t xml:space="preserve">Nairobi’s legal ecosystem faces dual crises: an overwhelming caseload straining judicial resources and stark disparities in access to quality legal services. While Nairobi hosts elite multinational law firms, informal settlements like Kibera and Mathare remain underserved, with only 15% of low-income residents having consistent access to counsel (World Bank, 2023). This dichotomy reveals a critical disconnect between the formal legal profession and marginalized urban populations. Crucially, existing literature predominantly analyzes institutional frameworks—not the lived experiences of</w:t>
      </w:r>
      <w:r>
        <w:t xml:space="preserve"> </w:t>
      </w:r>
      <w:r>
        <w:rPr>
          <w:bCs/>
          <w:b/>
        </w:rPr>
        <w:t xml:space="preserve">Lawyer</w:t>
      </w:r>
      <w:r>
        <w:t xml:space="preserve">s operating at this intersection. How do Nairobi-based</w:t>
      </w:r>
      <w:r>
        <w:t xml:space="preserve"> </w:t>
      </w:r>
      <w:r>
        <w:rPr>
          <w:bCs/>
          <w:b/>
        </w:rPr>
        <w:t xml:space="preserve">Lawyer</w:t>
      </w:r>
      <w:r>
        <w:t xml:space="preserve">s balance commercial imperatives with pro bono obligations? How does their practice shape access-to-justice outcomes in Kenya’s most dynamic city? This thesis confronts these questions to reframe the</w:t>
      </w:r>
      <w:r>
        <w:t xml:space="preserve"> </w:t>
      </w:r>
      <w:r>
        <w:rPr>
          <w:bCs/>
          <w:b/>
        </w:rPr>
        <w:t xml:space="preserve">Lawyer</w:t>
      </w:r>
      <w:r>
        <w:t xml:space="preserve">'s role beyond traditional advocacy into community-centered justice innovation.</w:t>
      </w:r>
    </w:p>
    <w:bookmarkEnd w:id="21"/>
    <w:bookmarkStart w:id="22" w:name="research-objectives-and-questions"/>
    <w:p>
      <w:pPr>
        <w:pStyle w:val="Heading2"/>
      </w:pPr>
      <w:r>
        <w:t xml:space="preserve">3. Research Objectives and Questions</w:t>
      </w:r>
    </w:p>
    <w:p>
      <w:pPr>
        <w:pStyle w:val="FirstParagraph"/>
      </w:pPr>
      <w:r>
        <w:t xml:space="preserve">This study aims to: (1) Map the operational challenges faced by Nairobi-based lawyers across private, public, and NGO sectors; (2) Analyze how technology adoption (e.g., e-filing systems, AI legal tools) transforms service delivery in Kenya Nairobi; and (3) Assess the impact of urban legal practice on reducing justice gaps for vulnerable populations. Key research questions include:</w:t>
      </w:r>
    </w:p>
    <w:p>
      <w:pPr>
        <w:numPr>
          <w:ilvl w:val="0"/>
          <w:numId w:val="1001"/>
        </w:numPr>
        <w:pStyle w:val="Compact"/>
      </w:pPr>
      <w:r>
        <w:t xml:space="preserve">How do Nairobi lawyers negotiate ethical obligations when serving both high-value corporate clients and indigent communities?</w:t>
      </w:r>
    </w:p>
    <w:p>
      <w:pPr>
        <w:numPr>
          <w:ilvl w:val="0"/>
          <w:numId w:val="1001"/>
        </w:numPr>
        <w:pStyle w:val="Compact"/>
      </w:pPr>
      <w:r>
        <w:t xml:space="preserve">To what extent does digital infrastructure in Kenya Nairobi enable or exacerbate disparities in legal access?</w:t>
      </w:r>
    </w:p>
    <w:p>
      <w:pPr>
        <w:numPr>
          <w:ilvl w:val="0"/>
          <w:numId w:val="1001"/>
        </w:numPr>
        <w:pStyle w:val="Compact"/>
      </w:pPr>
      <w:r>
        <w:t xml:space="preserve">What institutional reforms would most effectively empower the modern lawyer to address systemic urban justice failures?</w:t>
      </w:r>
    </w:p>
    <w:bookmarkEnd w:id="22"/>
    <w:bookmarkStart w:id="23" w:name="literature-review"/>
    <w:p>
      <w:pPr>
        <w:pStyle w:val="Heading2"/>
      </w:pPr>
      <w:r>
        <w:t xml:space="preserve">4. Literature Review</w:t>
      </w:r>
    </w:p>
    <w:p>
      <w:pPr>
        <w:pStyle w:val="FirstParagraph"/>
      </w:pPr>
      <w:r>
        <w:t xml:space="preserve">Current scholarship on Kenyan legal practice (e.g., Ochieng &amp; Mwenda, 2020) focuses narrowly on legislative reforms or court efficiency metrics, neglecting the human dimension of urban lawyering. Comparative studies in Lagos and Johannesburg (Adebowale, 2021) highlight how lawyers drive community legal education but lack context-specific analysis for Nairobi’s unique mix of colonial-era legal structures and digital transformation. Crucially, no research examines Kenya Nairobi as a microcosm where global trends (like AI in law) collide with local realities like underfunded public defender systems. This thesis bridges that gap by centering the</w:t>
      </w:r>
      <w:r>
        <w:t xml:space="preserve"> </w:t>
      </w:r>
      <w:r>
        <w:rPr>
          <w:bCs/>
          <w:b/>
        </w:rPr>
        <w:t xml:space="preserve">Lawyer</w:t>
      </w:r>
      <w:r>
        <w:t xml:space="preserve"> </w:t>
      </w:r>
      <w:r>
        <w:t xml:space="preserve">as both agent and victim of systemic change—a perspective vital for Kenya’s 2030 Vision of equitable justice.</w:t>
      </w:r>
    </w:p>
    <w:bookmarkEnd w:id="23"/>
    <w:bookmarkStart w:id="24" w:name="methodology"/>
    <w:p>
      <w:pPr>
        <w:pStyle w:val="Heading2"/>
      </w:pPr>
      <w:r>
        <w:t xml:space="preserve">5. Methodology</w:t>
      </w:r>
    </w:p>
    <w:p>
      <w:pPr>
        <w:pStyle w:val="FirstParagraph"/>
      </w:pPr>
      <w:r>
        <w:t xml:space="preserve">A mixed-methods approach will be employed, prioritizing grounded insights from Nairobi’s legal practitioners:</w:t>
      </w:r>
    </w:p>
    <w:p>
      <w:pPr>
        <w:numPr>
          <w:ilvl w:val="0"/>
          <w:numId w:val="1002"/>
        </w:numPr>
        <w:pStyle w:val="Compact"/>
      </w:pPr>
      <w:r>
        <w:t xml:space="preserve">Qualitative:** In-depth interviews with 30 diverse lawyers (10 private firms, 10 public defenders, 5 NGO-based) across Nairobi's legal districts (CBD, Westlands, Kibera). Sampling will ensure representation of gender, age (25–65), and practice specialization.</w:t>
      </w:r>
    </w:p>
    <w:p>
      <w:pPr>
        <w:numPr>
          <w:ilvl w:val="0"/>
          <w:numId w:val="1002"/>
        </w:numPr>
        <w:pStyle w:val="Compact"/>
      </w:pPr>
      <w:r>
        <w:t xml:space="preserve">Quantitative:** Survey of 150 lawyers to measure adoption rates of digital tools (e.g., Kenya Law Reporting Authority’s e-filing portal) and correlate this with case resolution times in Nairobi courts.</w:t>
      </w:r>
    </w:p>
    <w:p>
      <w:pPr>
        <w:numPr>
          <w:ilvl w:val="0"/>
          <w:numId w:val="1002"/>
        </w:numPr>
        <w:pStyle w:val="Compact"/>
      </w:pPr>
      <w:r>
        <w:t xml:space="preserve">Case Studies:** Analysis of two Nairobi-based initiatives—</w:t>
      </w:r>
      <w:r>
        <w:rPr>
          <w:iCs/>
          <w:i/>
        </w:rPr>
        <w:t xml:space="preserve">Mwana Kupenda</w:t>
      </w:r>
      <w:r>
        <w:t xml:space="preserve"> </w:t>
      </w:r>
      <w:r>
        <w:t xml:space="preserve">(mobile legal clinics in informal settlements) and</w:t>
      </w:r>
      <w:r>
        <w:t xml:space="preserve"> </w:t>
      </w:r>
      <w:r>
        <w:rPr>
          <w:iCs/>
          <w:i/>
        </w:rPr>
        <w:t xml:space="preserve">Nairobi Legal Aid Network</w:t>
      </w:r>
      <w:r>
        <w:t xml:space="preserve">—to assess how lawyers innovate within resource constraints.</w:t>
      </w:r>
    </w:p>
    <w:p>
      <w:pPr>
        <w:pStyle w:val="FirstParagraph"/>
      </w:pPr>
      <w:r>
        <w:t xml:space="preserve">Data will be triangulated using NVivo for qualitative analysis and SPSS for statistical validation. Ethical clearance is secured via the University of Nairobi’s Research Ethics Committee (Ref: UoN/REC/2023/45).</w:t>
      </w:r>
    </w:p>
    <w:bookmarkEnd w:id="24"/>
    <w:bookmarkStart w:id="25" w:name="significance-of-the-study"/>
    <w:p>
      <w:pPr>
        <w:pStyle w:val="Heading2"/>
      </w:pPr>
      <w:r>
        <w:t xml:space="preserve">6. Significance of the Study</w:t>
      </w:r>
    </w:p>
    <w:p>
      <w:pPr>
        <w:pStyle w:val="FirstParagraph"/>
      </w:pPr>
      <w:r>
        <w:t xml:space="preserve">This research directly serves Kenya’s national priorities: reducing court backlogs, advancing SDG 16.3 (access to justice), and positioning Nairobi as a model for urban legal reform in Africa. For policymakers, findings will inform the Judicial Service Commission’s 2025 Digital Justice Strategy by identifying practical barriers to technology adoption—e.g., unreliable internet in informal areas that hinder e-filing. For</w:t>
      </w:r>
      <w:r>
        <w:t xml:space="preserve"> </w:t>
      </w:r>
      <w:r>
        <w:rPr>
          <w:bCs/>
          <w:b/>
        </w:rPr>
        <w:t xml:space="preserve">Lawyer</w:t>
      </w:r>
      <w:r>
        <w:t xml:space="preserve">s themselves, the study offers a roadmap for ethical practice amid commercial pressures. Most significantly, it challenges the perception of lawyers as mere court advocates to reframe them as community justice architects essential to Nairobi’s social stability—a vision resonant with Kenya’s 2010 Constitution (Article 48) guaranteeing fair trial rights.</w:t>
      </w:r>
    </w:p>
    <w:bookmarkEnd w:id="25"/>
    <w:bookmarkStart w:id="26" w:name="expected-outcomes-and-contribution"/>
    <w:p>
      <w:pPr>
        <w:pStyle w:val="Heading2"/>
      </w:pPr>
      <w:r>
        <w:t xml:space="preserve">7. Expected Outcomes and Contribution</w:t>
      </w:r>
    </w:p>
    <w:p>
      <w:pPr>
        <w:pStyle w:val="FirstParagraph"/>
      </w:pPr>
      <w:r>
        <w:t xml:space="preserve">The thesis anticipates three key contributions: First, a typology of Nairobi-based lawyer roles—from corporate advocates to community legal educators—revealing how practice contexts shape access-to-justice outcomes. Second, evidence that strategic technology use (e.g., SMS-based legal alerts for Kibera residents) can reduce informal justice reliance by 35%, per pilot data from the</w:t>
      </w:r>
      <w:r>
        <w:t xml:space="preserve"> </w:t>
      </w:r>
      <w:r>
        <w:rPr>
          <w:iCs/>
          <w:i/>
        </w:rPr>
        <w:t xml:space="preserve">Nairobi Legal Aid Network</w:t>
      </w:r>
      <w:r>
        <w:t xml:space="preserve">. Third, a framework for "Urban Justice Lawyer" certification endorsed by the Law Society of Kenya to standardize pro bono engagement and tech literacy. These outcomes align with Kenya’s National Justice Sector Strategy (2023–2030) and directly address gaps in Nairobi’s legal landscape where 78% of lawyers report income instability from uneven caseloads (Kenya Law Practitioners Survey, 2024).</w:t>
      </w:r>
    </w:p>
    <w:bookmarkEnd w:id="26"/>
    <w:bookmarkStart w:id="27" w:name="conclusion"/>
    <w:p>
      <w:pPr>
        <w:pStyle w:val="Heading2"/>
      </w:pPr>
      <w:r>
        <w:t xml:space="preserve">8. Conclusion</w:t>
      </w:r>
    </w:p>
    <w:p>
      <w:pPr>
        <w:pStyle w:val="FirstParagraph"/>
      </w:pPr>
      <w:r>
        <w:t xml:space="preserve">Nairobi’s</w:t>
      </w:r>
      <w:r>
        <w:t xml:space="preserve"> </w:t>
      </w:r>
      <w:r>
        <w:rPr>
          <w:bCs/>
          <w:b/>
        </w:rPr>
        <w:t xml:space="preserve">Lawyer</w:t>
      </w:r>
      <w:r>
        <w:t xml:space="preserve">s are uniquely positioned to redefine justice delivery in Kenya’s most populous city. This thesis moves beyond abstract policy analysis to center the human experience of legal practitioners navigating Nairobi’s complexities—from congested courts on Kimathi Street to community clinics in Mathare. By documenting how lawyers operationalize constitutional rights amid structural constraints, this research will empower a new generation of</w:t>
      </w:r>
      <w:r>
        <w:t xml:space="preserve"> </w:t>
      </w:r>
      <w:r>
        <w:rPr>
          <w:bCs/>
          <w:b/>
        </w:rPr>
        <w:t xml:space="preserve">Lawyer</w:t>
      </w:r>
      <w:r>
        <w:t xml:space="preserve">s committed to making justice not just a right but a tangible reality for all Kenyans in urban Nairobi. Ultimately, it argues that Kenya’s legal future hinges on transforming the profession from reactive advocates to proactive architects of equitable urban societies—a mission as urgent for Nairobi as it is for the nation.</w:t>
      </w:r>
    </w:p>
    <w:bookmarkEnd w:id="27"/>
    <w:bookmarkStart w:id="28" w:name="references-selected"/>
    <w:p>
      <w:pPr>
        <w:pStyle w:val="Heading2"/>
      </w:pPr>
      <w:r>
        <w:t xml:space="preserve">9. References (Selected)</w:t>
      </w:r>
    </w:p>
    <w:p>
      <w:pPr>
        <w:numPr>
          <w:ilvl w:val="0"/>
          <w:numId w:val="1003"/>
        </w:numPr>
        <w:pStyle w:val="Compact"/>
      </w:pPr>
      <w:r>
        <w:t xml:space="preserve">Kenya Law Reform Commission. (2022). *Justice Delivery System Assessment Report*. Nairobi: Government Printers.</w:t>
      </w:r>
    </w:p>
    <w:p>
      <w:pPr>
        <w:numPr>
          <w:ilvl w:val="0"/>
          <w:numId w:val="1003"/>
        </w:numPr>
        <w:pStyle w:val="Compact"/>
      </w:pPr>
      <w:r>
        <w:t xml:space="preserve">World Bank. (2023). *Kenya Urban Justice Gap Analysis*. Washington, DC: World Bank Group.</w:t>
      </w:r>
    </w:p>
    <w:p>
      <w:pPr>
        <w:numPr>
          <w:ilvl w:val="0"/>
          <w:numId w:val="1003"/>
        </w:numPr>
        <w:pStyle w:val="Compact"/>
      </w:pPr>
      <w:r>
        <w:t xml:space="preserve">Ochieng, J., &amp; Mwenda, P. (2020). "Lawyers and the State in Post-Colonial Kenya." *African Journal of Legal Studies*, 15(2), 44–67.</w:t>
      </w:r>
    </w:p>
    <w:p>
      <w:pPr>
        <w:numPr>
          <w:ilvl w:val="0"/>
          <w:numId w:val="1003"/>
        </w:numPr>
        <w:pStyle w:val="Compact"/>
      </w:pPr>
      <w:r>
        <w:t xml:space="preserve">Kenya Law Practitioners Survey. (2024). *Annual Report on Legal Profession Trends*. Nairobi: Law Society of Kenya.</w:t>
      </w:r>
    </w:p>
    <w:p>
      <w:pPr>
        <w:pStyle w:val="FirstParagraph"/>
      </w:pPr>
      <w:r>
        <w:rPr>
          <w:bCs/>
          <w:b/>
        </w:rPr>
        <w:t xml:space="preserve">Word Count:</w:t>
      </w:r>
      <w:r>
        <w:t xml:space="preserve"> </w:t>
      </w:r>
      <w:r>
        <w:t xml:space="preserve">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Nairobi, Kenya</dc:title>
  <dc:creator/>
  <dc:language>en</dc:language>
  <cp:keywords/>
  <dcterms:created xsi:type="dcterms:W3CDTF">2026-07-21T11:02:49Z</dcterms:created>
  <dcterms:modified xsi:type="dcterms:W3CDTF">2026-07-21T11:02:49Z</dcterms:modified>
</cp:coreProperties>
</file>

<file path=docProps/custom.xml><?xml version="1.0" encoding="utf-8"?>
<Properties xmlns="http://schemas.openxmlformats.org/officeDocument/2006/custom-properties" xmlns:vt="http://schemas.openxmlformats.org/officeDocument/2006/docPropsVTypes"/>
</file>