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Kuwait</w:t>
      </w:r>
      <w:r>
        <w:t xml:space="preserve"> </w:t>
      </w:r>
      <w:r>
        <w:t xml:space="preserve">City,</w:t>
      </w:r>
      <w:r>
        <w:t xml:space="preserve"> </w:t>
      </w:r>
      <w:r>
        <w:t xml:space="preserve">Kuwait</w:t>
      </w:r>
    </w:p>
    <w:bookmarkStart w:id="30" w:name="Xa895fb07bab204a31ecbc48607ea3acbaf7e6a3"/>
    <w:p>
      <w:pPr>
        <w:pStyle w:val="Heading1"/>
      </w:pPr>
      <w:r>
        <w:t xml:space="preserve">Thesis Proposal: The Evolving Role of the Lawyer in Kuwait City, Kuwait</w:t>
      </w:r>
    </w:p>
    <w:bookmarkStart w:id="20" w:name="introduction"/>
    <w:p>
      <w:pPr>
        <w:pStyle w:val="Heading2"/>
      </w:pPr>
      <w:r>
        <w:t xml:space="preserve">1. Introduction</w:t>
      </w:r>
    </w:p>
    <w:p>
      <w:pPr>
        <w:pStyle w:val="FirstParagraph"/>
      </w:pPr>
      <w:r>
        <w:t xml:space="preserve">The legal profession stands as a cornerstone of societal order and justice, particularly in rapidly modernizing urban centers like Kuwait City. This Thesis Proposal examines the contemporary role of the</w:t>
      </w:r>
      <w:r>
        <w:t xml:space="preserve"> </w:t>
      </w:r>
      <w:r>
        <w:rPr>
          <w:bCs/>
          <w:b/>
        </w:rPr>
        <w:t xml:space="preserve">Lawyer</w:t>
      </w:r>
      <w:r>
        <w:t xml:space="preserve"> </w:t>
      </w:r>
      <w:r>
        <w:t xml:space="preserve">within the judicial framework of Kuwait City, Kuwait—a dynamic metropolis where traditional Islamic jurisprudence intersects with international commercial law and evolving governance structures. As Kuwait continues its Vision 2035 development plan, the demand for specialized legal expertise has surged, making this research critically important. The</w:t>
      </w:r>
      <w:r>
        <w:t xml:space="preserve"> </w:t>
      </w:r>
      <w:r>
        <w:rPr>
          <w:bCs/>
          <w:b/>
        </w:rPr>
        <w:t xml:space="preserve">Lawyer</w:t>
      </w:r>
      <w:r>
        <w:t xml:space="preserve"> </w:t>
      </w:r>
      <w:r>
        <w:t xml:space="preserve">in</w:t>
      </w:r>
      <w:r>
        <w:t xml:space="preserve"> </w:t>
      </w:r>
      <w:r>
        <w:rPr>
          <w:bCs/>
          <w:b/>
        </w:rPr>
        <w:t xml:space="preserve">Kuwait City</w:t>
      </w:r>
      <w:r>
        <w:t xml:space="preserve"> </w:t>
      </w:r>
      <w:r>
        <w:t xml:space="preserve">faces unique challenges including balancing Sharia compliance with modern corporate law, navigating cross-border disputes, and adapting to digital transformation in legal services. This study seeks to document these complexities through empirical analysis of the legal profession's evolution within Kuwait City's socio-legal ecosystem.</w:t>
      </w:r>
    </w:p>
    <w:bookmarkEnd w:id="20"/>
    <w:bookmarkStart w:id="21" w:name="problem-statement"/>
    <w:p>
      <w:pPr>
        <w:pStyle w:val="Heading2"/>
      </w:pPr>
      <w:r>
        <w:t xml:space="preserve">2. Problem Statement</w:t>
      </w:r>
    </w:p>
    <w:p>
      <w:pPr>
        <w:pStyle w:val="FirstParagraph"/>
      </w:pPr>
      <w:r>
        <w:t xml:space="preserve">Kuwait City exemplifies a jurisdiction where the traditional role of the</w:t>
      </w:r>
      <w:r>
        <w:t xml:space="preserve"> </w:t>
      </w:r>
      <w:r>
        <w:rPr>
          <w:bCs/>
          <w:b/>
        </w:rPr>
        <w:t xml:space="preserve">Lawyer</w:t>
      </w:r>
      <w:r>
        <w:t xml:space="preserve"> </w:t>
      </w:r>
      <w:r>
        <w:t xml:space="preserve">is undergoing unprecedented transformation. While Kuwait’s legal system blends civil law, Sharia principles, and customary norms, the city's status as a regional financial hub has intensified pressure on legal practitioners to master international arbitration frameworks and corporate compliance standards. Current literature lacks comprehensive studies on how</w:t>
      </w:r>
      <w:r>
        <w:t xml:space="preserve"> </w:t>
      </w:r>
      <w:r>
        <w:rPr>
          <w:bCs/>
          <w:b/>
        </w:rPr>
        <w:t xml:space="preserve">Kuwait City</w:t>
      </w:r>
      <w:r>
        <w:t xml:space="preserve">'s</w:t>
      </w:r>
      <w:r>
        <w:t xml:space="preserve"> </w:t>
      </w:r>
      <w:r>
        <w:rPr>
          <w:bCs/>
          <w:b/>
        </w:rPr>
        <w:t xml:space="preserve">Lawyer</w:t>
      </w:r>
      <w:r>
        <w:t xml:space="preserve"> </w:t>
      </w:r>
      <w:r>
        <w:t xml:space="preserve">navigates this dual identity—simultaneously serving local communities and global clients. This gap impedes effective policy-making, professional development, and the advancement of justice in one of the Middle East's most economically vital cities. Without understanding these dynamics, Kuwait risks undermining its legal sector's capacity to support sustainable growth.</w:t>
      </w:r>
    </w:p>
    <w:bookmarkEnd w:id="21"/>
    <w:bookmarkStart w:id="22" w:name="research-objectives"/>
    <w:p>
      <w:pPr>
        <w:pStyle w:val="Heading2"/>
      </w:pPr>
      <w:r>
        <w:t xml:space="preserve">3. Research Objectives</w:t>
      </w:r>
    </w:p>
    <w:p>
      <w:pPr>
        <w:numPr>
          <w:ilvl w:val="0"/>
          <w:numId w:val="1001"/>
        </w:numPr>
        <w:pStyle w:val="Compact"/>
      </w:pPr>
      <w:r>
        <w:t xml:space="preserve">To analyze how</w:t>
      </w:r>
      <w:r>
        <w:t xml:space="preserve"> </w:t>
      </w:r>
      <w:r>
        <w:rPr>
          <w:bCs/>
          <w:b/>
        </w:rPr>
        <w:t xml:space="preserve">Kuwait City</w:t>
      </w:r>
      <w:r>
        <w:t xml:space="preserve">'s legal landscape shapes the professional identity of the modern</w:t>
      </w:r>
      <w:r>
        <w:t xml:space="preserve"> </w:t>
      </w:r>
      <w:r>
        <w:rPr>
          <w:bCs/>
          <w:b/>
        </w:rPr>
        <w:t xml:space="preserve">Lawyer</w:t>
      </w:r>
      <w:r>
        <w:t xml:space="preserve">.</w:t>
      </w:r>
    </w:p>
    <w:p>
      <w:pPr>
        <w:numPr>
          <w:ilvl w:val="0"/>
          <w:numId w:val="1001"/>
        </w:numPr>
        <w:pStyle w:val="Compact"/>
      </w:pPr>
      <w:r>
        <w:t xml:space="preserve">To evaluate challenges faced by the</w:t>
      </w:r>
      <w:r>
        <w:t xml:space="preserve"> </w:t>
      </w:r>
      <w:r>
        <w:rPr>
          <w:bCs/>
          <w:b/>
        </w:rPr>
        <w:t xml:space="preserve">Lawyer</w:t>
      </w:r>
      <w:r>
        <w:t xml:space="preserve"> </w:t>
      </w:r>
      <w:r>
        <w:t xml:space="preserve">in balancing Sharia-based ethics with international legal standards.</w:t>
      </w:r>
    </w:p>
    <w:p>
      <w:pPr>
        <w:numPr>
          <w:ilvl w:val="0"/>
          <w:numId w:val="1001"/>
        </w:numPr>
        <w:pStyle w:val="Compact"/>
      </w:pPr>
      <w:r>
        <w:t xml:space="preserve">To propose a framework for enhancing the competency of the</w:t>
      </w:r>
      <w:r>
        <w:t xml:space="preserve"> </w:t>
      </w:r>
      <w:r>
        <w:rPr>
          <w:bCs/>
          <w:b/>
        </w:rPr>
        <w:t xml:space="preserve">Kuwait City</w:t>
      </w:r>
      <w:r>
        <w:t xml:space="preserve"> </w:t>
      </w:r>
      <w:r>
        <w:rPr>
          <w:bCs/>
          <w:b/>
        </w:rPr>
        <w:t xml:space="preserve">Lawyer</w:t>
      </w:r>
      <w:r>
        <w:t xml:space="preserve"> </w:t>
      </w:r>
      <w:r>
        <w:t xml:space="preserve">in emerging economic sectors (e.g., fintech, renewable energy).</w:t>
      </w:r>
    </w:p>
    <w:bookmarkEnd w:id="22"/>
    <w:bookmarkStart w:id="23" w:name="literature-review"/>
    <w:p>
      <w:pPr>
        <w:pStyle w:val="Heading2"/>
      </w:pPr>
      <w:r>
        <w:t xml:space="preserve">4. Literature Review</w:t>
      </w:r>
    </w:p>
    <w:p>
      <w:pPr>
        <w:pStyle w:val="FirstParagraph"/>
      </w:pPr>
      <w:r>
        <w:t xml:space="preserve">Prior studies on legal professions in Gulf states often focus on legislative reforms rather than practitioner experiences. Scholars like Al-Suwaij (2020) documented Kuwait’s codification of commercial law but overlooked field-level implementation challenges for the</w:t>
      </w:r>
      <w:r>
        <w:t xml:space="preserve"> </w:t>
      </w:r>
      <w:r>
        <w:rPr>
          <w:bCs/>
          <w:b/>
        </w:rPr>
        <w:t xml:space="preserve">Lawyer</w:t>
      </w:r>
      <w:r>
        <w:t xml:space="preserve">. Meanwhile, Khalaf (2021) examined Sharia-compliant finance but omitted how</w:t>
      </w:r>
      <w:r>
        <w:t xml:space="preserve"> </w:t>
      </w:r>
      <w:r>
        <w:rPr>
          <w:bCs/>
          <w:b/>
        </w:rPr>
        <w:t xml:space="preserve">Kuwait City</w:t>
      </w:r>
      <w:r>
        <w:t xml:space="preserve">'s</w:t>
      </w:r>
      <w:r>
        <w:t xml:space="preserve"> </w:t>
      </w:r>
      <w:r>
        <w:rPr>
          <w:bCs/>
          <w:b/>
        </w:rPr>
        <w:t xml:space="preserve">Lawyer</w:t>
      </w:r>
      <w:r>
        <w:t xml:space="preserve"> </w:t>
      </w:r>
      <w:r>
        <w:t xml:space="preserve">mediates between religious doctrine and transactional needs. Recent OECD reports highlight Kuwait’s legal sector as "underdeveloped" relative to its economic potential—a characterization that disregards the nuanced realities faced by practitioners in the capital city. This thesis directly addresses these omissions by centering the</w:t>
      </w:r>
      <w:r>
        <w:t xml:space="preserve"> </w:t>
      </w:r>
      <w:r>
        <w:rPr>
          <w:bCs/>
          <w:b/>
        </w:rPr>
        <w:t xml:space="preserve">Lawyer</w:t>
      </w:r>
      <w:r>
        <w:t xml:space="preserve">'s lived experience in</w:t>
      </w:r>
      <w:r>
        <w:t xml:space="preserve"> </w:t>
      </w:r>
      <w:r>
        <w:rPr>
          <w:bCs/>
          <w:b/>
        </w:rPr>
        <w:t xml:space="preserve">Kuwait City</w:t>
      </w:r>
      <w:r>
        <w:t xml:space="preserve">, moving beyond macro-analysis to ground-level insights.</w:t>
      </w:r>
    </w:p>
    <w:bookmarkEnd w:id="23"/>
    <w:bookmarkStart w:id="24" w:name="methodology"/>
    <w:p>
      <w:pPr>
        <w:pStyle w:val="Heading2"/>
      </w:pPr>
      <w:r>
        <w:t xml:space="preserve">5. Methodology</w:t>
      </w:r>
    </w:p>
    <w:p>
      <w:pPr>
        <w:pStyle w:val="FirstParagraph"/>
      </w:pPr>
      <w:r>
        <w:t xml:space="preserve">This research employs a mixed-methods approach tailored to Kuwait City’s context:</w:t>
      </w:r>
    </w:p>
    <w:p>
      <w:pPr>
        <w:numPr>
          <w:ilvl w:val="0"/>
          <w:numId w:val="1002"/>
        </w:numPr>
        <w:pStyle w:val="Compact"/>
      </w:pPr>
      <w:r>
        <w:rPr>
          <w:bCs/>
          <w:b/>
        </w:rPr>
        <w:t xml:space="preserve">Qualitative Phase:</w:t>
      </w:r>
      <w:r>
        <w:t xml:space="preserve"> </w:t>
      </w:r>
      <w:r>
        <w:t xml:space="preserve">Semi-structured interviews with 30 licensed lawyers across Kuwait City's legal firms (including 15 practitioners in specialized fields like international arbitration and 15 in civil litigation). All participants will be recruited through the Kuwait Bar Association.</w:t>
      </w:r>
    </w:p>
    <w:p>
      <w:pPr>
        <w:numPr>
          <w:ilvl w:val="0"/>
          <w:numId w:val="1002"/>
        </w:numPr>
        <w:pStyle w:val="Compact"/>
      </w:pPr>
      <w:r>
        <w:rPr>
          <w:bCs/>
          <w:b/>
        </w:rPr>
        <w:t xml:space="preserve">Quantitative Phase:</w:t>
      </w:r>
      <w:r>
        <w:t xml:space="preserve"> </w:t>
      </w:r>
      <w:r>
        <w:t xml:space="preserve">Survey of 200 practicing lawyers to measure adoption rates of digital tools, client demographics, and professional development needs.</w:t>
      </w:r>
    </w:p>
    <w:p>
      <w:pPr>
        <w:numPr>
          <w:ilvl w:val="0"/>
          <w:numId w:val="1002"/>
        </w:numPr>
        <w:pStyle w:val="Compact"/>
      </w:pPr>
      <w:r>
        <w:rPr>
          <w:bCs/>
          <w:b/>
        </w:rPr>
        <w:t xml:space="preserve">Contextual Analysis:</w:t>
      </w:r>
      <w:r>
        <w:t xml:space="preserve"> </w:t>
      </w:r>
      <w:r>
        <w:t xml:space="preserve">Comparative study of legal education curricula (e.g., Kuwait University Law School vs. international programs) and judicial case files from the Supreme Court in Kuwait City.</w:t>
      </w:r>
    </w:p>
    <w:p>
      <w:pPr>
        <w:pStyle w:val="FirstParagraph"/>
      </w:pPr>
      <w:r>
        <w:t xml:space="preserve">Data will be analyzed using NVivo for thematic coding and SPSS for statistical validation. Ethical approval will be secured through the College of Law at Kuwait University, ensuring confidentiality per Kuwaiti data protection regulations.</w:t>
      </w:r>
    </w:p>
    <w:bookmarkEnd w:id="24"/>
    <w:bookmarkStart w:id="25" w:name="expected-contributions"/>
    <w:p>
      <w:pPr>
        <w:pStyle w:val="Heading2"/>
      </w:pPr>
      <w:r>
        <w:t xml:space="preserve">6. Expected Contributions</w:t>
      </w:r>
    </w:p>
    <w:p>
      <w:pPr>
        <w:pStyle w:val="FirstParagraph"/>
      </w:pPr>
      <w:r>
        <w:t xml:space="preserve">This Thesis Proposal promises three key contributions to academia and practice:</w:t>
      </w:r>
    </w:p>
    <w:p>
      <w:pPr>
        <w:numPr>
          <w:ilvl w:val="0"/>
          <w:numId w:val="1003"/>
        </w:numPr>
        <w:pStyle w:val="Compact"/>
      </w:pPr>
      <w:r>
        <w:rPr>
          <w:bCs/>
          <w:b/>
        </w:rPr>
        <w:t xml:space="preserve">Theoretical:</w:t>
      </w:r>
      <w:r>
        <w:t xml:space="preserve"> </w:t>
      </w:r>
      <w:r>
        <w:t xml:space="preserve">A new conceptual framework—'Dual-Identity Legal Practice'—explaining how the Kuwait City Lawyer navigates between local cultural imperatives and global professional standards. This advances comparative legal studies beyond Western-centric models.</w:t>
      </w:r>
    </w:p>
    <w:p>
      <w:pPr>
        <w:numPr>
          <w:ilvl w:val="0"/>
          <w:numId w:val="1003"/>
        </w:numPr>
        <w:pStyle w:val="Compact"/>
      </w:pPr>
      <w:r>
        <w:rPr>
          <w:bCs/>
          <w:b/>
        </w:rPr>
        <w:t xml:space="preserve">Policy:</w:t>
      </w:r>
      <w:r>
        <w:t xml:space="preserve"> </w:t>
      </w:r>
      <w:r>
        <w:t xml:space="preserve">Evidence-based recommendations for the Ministry of Justice to reform bar association training programs, directly addressing current gaps in preparing the Kuwait City Lawyer for 21st-century challenges.</w:t>
      </w:r>
    </w:p>
    <w:p>
      <w:pPr>
        <w:numPr>
          <w:ilvl w:val="0"/>
          <w:numId w:val="1003"/>
        </w:numPr>
        <w:pStyle w:val="Compact"/>
      </w:pPr>
      <w:r>
        <w:rPr>
          <w:bCs/>
          <w:b/>
        </w:rPr>
        <w:t xml:space="preserve">Societal:</w:t>
      </w:r>
      <w:r>
        <w:t xml:space="preserve"> </w:t>
      </w:r>
      <w:r>
        <w:t xml:space="preserve">A roadmap for enhancing access to justice in Kuwait City through lawyer specialization, particularly benefiting women and low-income communities currently underserved by legal services.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Ethics Approval</w:t>
      </w:r>
    </w:p>
    <w:p>
      <w:pPr>
        <w:pStyle w:val="BodyText"/>
      </w:pPr>
      <w:r>
        <w:t xml:space="preserve">Months 1-3</w:t>
      </w:r>
    </w:p>
    <w:p>
      <w:pPr>
        <w:pStyle w:val="BodyText"/>
      </w:pPr>
      <w:r>
        <w:t xml:space="preserve">Synthesized literature, IRB clearance from Kuwait University</w:t>
      </w:r>
    </w:p>
    <w:p>
      <w:pPr>
        <w:pStyle w:val="BodyText"/>
      </w:pPr>
      <w:r>
        <w:t xml:space="preserve">Data Collection (Interviews/Surveys)</w:t>
      </w:r>
    </w:p>
    <w:p>
      <w:pPr>
        <w:pStyle w:val="BodyText"/>
      </w:pPr>
      <w:r>
        <w:t xml:space="preserve">Months 4-7</w:t>
      </w:r>
    </w:p>
    <w:p>
      <w:pPr>
        <w:pStyle w:val="BodyText"/>
      </w:pPr>
      <w:r>
        <w:t xml:space="preserve">Transcribed interviews, survey dataset of 200 lawyers in Kuwait City</w:t>
      </w:r>
    </w:p>
    <w:p>
      <w:pPr>
        <w:pStyle w:val="BodyText"/>
      </w:pPr>
      <w:r>
        <w:t xml:space="preserve">Data Analysis &amp; Drafting</w:t>
      </w:r>
    </w:p>
    <w:p>
      <w:pPr>
        <w:pStyle w:val="BodyText"/>
      </w:pPr>
      <w:r>
        <w:t xml:space="preserve">&lt;</w:t>
      </w:r>
    </w:p>
    <w:p>
      <w:pPr>
        <w:pStyle w:val="BodyText"/>
      </w:pPr>
      <w:r>
        <w:t xml:space="preserve">Months 8-10</w:t>
      </w:r>
    </w:p>
    <w:p>
      <w:pPr>
        <w:pStyle w:val="BodyText"/>
      </w:pPr>
      <w:r>
        <w:t xml:space="preserve">Thematic codes, statistical reports, initial thesis chapters</w:t>
      </w:r>
    </w:p>
    <w:p>
      <w:pPr>
        <w:pStyle w:val="BodyText"/>
      </w:pPr>
      <w:r>
        <w:t xml:space="preserve">Peer Review &amp; Finalization</w:t>
      </w:r>
    </w:p>
    <w:p>
      <w:pPr>
        <w:pStyle w:val="BodyText"/>
      </w:pPr>
      <w:r>
        <w:t xml:space="preserve">Months 11-12</w:t>
      </w:r>
    </w:p>
    <w:p>
      <w:pPr>
        <w:pStyle w:val="BodyText"/>
      </w:pPr>
      <w:r>
        <w:t xml:space="preserve">Completed Thesis Proposal with methodology validation</w:t>
      </w:r>
    </w:p>
    <w:bookmarkEnd w:id="26"/>
    <w:bookmarkStart w:id="27" w:name="significance-in-kuwait-city-context"/>
    <w:p>
      <w:pPr>
        <w:pStyle w:val="Heading2"/>
      </w:pPr>
      <w:r>
        <w:t xml:space="preserve">8. Significance in Kuwait City Context</w:t>
      </w:r>
    </w:p>
    <w:p>
      <w:pPr>
        <w:pStyle w:val="FirstParagraph"/>
      </w:pPr>
      <w:r>
        <w:t xml:space="preserve">Kuwait City is not merely a geographic setting for this research—it is the living laboratory where the future of legal practice in the Gulf takes shape. As the city expands its role as a regional hub for finance, technology, and energy, its</w:t>
      </w:r>
      <w:r>
        <w:t xml:space="preserve"> </w:t>
      </w:r>
      <w:r>
        <w:rPr>
          <w:bCs/>
          <w:b/>
        </w:rPr>
        <w:t xml:space="preserve">Lawyer</w:t>
      </w:r>
      <w:r>
        <w:t xml:space="preserve"> </w:t>
      </w:r>
      <w:r>
        <w:t xml:space="preserve">must evolve from traditional advocate to strategic advisor. For instance, Kuwait City's recent adoption of arbitration laws (2022) demands that every practicing</w:t>
      </w:r>
      <w:r>
        <w:t xml:space="preserve"> </w:t>
      </w:r>
      <w:r>
        <w:rPr>
          <w:bCs/>
          <w:b/>
        </w:rPr>
        <w:t xml:space="preserve">Lawyer</w:t>
      </w:r>
      <w:r>
        <w:t xml:space="preserve"> </w:t>
      </w:r>
      <w:r>
        <w:t xml:space="preserve">master international dispute mechanisms—a skill gap this thesis will quantify and address. Moreover, with 73% of Kuwaiti legal professionals based in Kuwait City (Kuwait Bar Association, 2023), the findings will directly impact over 1,500 practitioners shaping justice delivery for the nation’s capital.</w:t>
      </w:r>
    </w:p>
    <w:bookmarkEnd w:id="27"/>
    <w:bookmarkStart w:id="29" w:name="conclusion"/>
    <w:p>
      <w:pPr>
        <w:pStyle w:val="Heading2"/>
      </w:pPr>
      <w:r>
        <w:t xml:space="preserve">9. Conclusion</w:t>
      </w:r>
    </w:p>
    <w:p>
      <w:pPr>
        <w:pStyle w:val="FirstParagraph"/>
      </w:pPr>
      <w:r>
        <w:t xml:space="preserve">This Thesis Proposal establishes a vital research trajectory focused on the indispensable role of the</w:t>
      </w:r>
      <w:r>
        <w:t xml:space="preserve"> </w:t>
      </w:r>
      <w:r>
        <w:rPr>
          <w:bCs/>
          <w:b/>
        </w:rPr>
        <w:t xml:space="preserve">Lawyer</w:t>
      </w:r>
      <w:r>
        <w:t xml:space="preserve"> </w:t>
      </w:r>
      <w:r>
        <w:t xml:space="preserve">in Kuwait City, Kuwait. By examining how legal professionals adapt to socioeconomic shifts within this pivotal urban center, the study promises actionable insights for strengthening justice systems across the Middle East. The proposed framework will not only enrich academic discourse but also provide pragmatic tools for policymakers and practitioners to future-proof Kuwait City’s legal sector. As a city at the crossroads of tradition and modernity, Kuwait City offers an unparalleled case study in redefining what it means to be a</w:t>
      </w:r>
      <w:r>
        <w:t xml:space="preserve"> </w:t>
      </w:r>
      <w:r>
        <w:rPr>
          <w:bCs/>
          <w:b/>
        </w:rPr>
        <w:t xml:space="preserve">Lawyer</w:t>
      </w:r>
      <w:r>
        <w:t xml:space="preserve"> </w:t>
      </w:r>
      <w:r>
        <w:t xml:space="preserve">in the 21st century—a relevance that transcends national borders.</w:t>
      </w:r>
    </w:p>
    <w:bookmarkStart w:id="28" w:name="references-selected"/>
    <w:p>
      <w:pPr>
        <w:pStyle w:val="Heading3"/>
      </w:pPr>
      <w:r>
        <w:t xml:space="preserve">References (Selected)</w:t>
      </w:r>
    </w:p>
    <w:p>
      <w:pPr>
        <w:numPr>
          <w:ilvl w:val="0"/>
          <w:numId w:val="1004"/>
        </w:numPr>
        <w:pStyle w:val="Compact"/>
      </w:pPr>
      <w:r>
        <w:t xml:space="preserve">Kuwait Bar Association. (2023). *Annual Report on Legal Profession in Kuwait City*.</w:t>
      </w:r>
    </w:p>
    <w:p>
      <w:pPr>
        <w:numPr>
          <w:ilvl w:val="0"/>
          <w:numId w:val="1004"/>
        </w:numPr>
        <w:pStyle w:val="Compact"/>
      </w:pPr>
      <w:r>
        <w:t xml:space="preserve">Al-Suwaij, S. (2020). *Codification of Commercial Law in Gulf States*. Arab Law Quarterly.</w:t>
      </w:r>
    </w:p>
    <w:p>
      <w:pPr>
        <w:numPr>
          <w:ilvl w:val="0"/>
          <w:numId w:val="1004"/>
        </w:numPr>
        <w:pStyle w:val="Compact"/>
      </w:pPr>
      <w:r>
        <w:t xml:space="preserve">Khalaf, R. (2021). *Sharia Compliance in Financial Innovation*. International Journal of Islamic Finance.</w:t>
      </w:r>
    </w:p>
    <w:p>
      <w:pPr>
        <w:numPr>
          <w:ilvl w:val="0"/>
          <w:numId w:val="1004"/>
        </w:numPr>
        <w:pStyle w:val="Compact"/>
      </w:pPr>
      <w:r>
        <w:t xml:space="preserve">OECD. (2022). *Legal and Regulatory Framework for Economic Diversification: Kuwait Country Review*.</w:t>
      </w:r>
    </w:p>
    <w:p>
      <w:pPr>
        <w:pStyle w:val="FirstParagraph"/>
      </w:pPr>
      <w:r>
        <w:rPr>
          <w:bCs/>
          <w:b/>
        </w:rPr>
        <w:t xml:space="preserve">Total Word Count: 878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Kuwait City, Kuwait</dc:title>
  <dc:creator/>
  <dc:language>en</dc:language>
  <cp:keywords/>
  <dcterms:created xsi:type="dcterms:W3CDTF">2025-12-11T08:43:16Z</dcterms:created>
  <dcterms:modified xsi:type="dcterms:W3CDTF">2025-12-11T08:43:16Z</dcterms:modified>
</cp:coreProperties>
</file>

<file path=docProps/custom.xml><?xml version="1.0" encoding="utf-8"?>
<Properties xmlns="http://schemas.openxmlformats.org/officeDocument/2006/custom-properties" xmlns:vt="http://schemas.openxmlformats.org/officeDocument/2006/docPropsVTypes"/>
</file>