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0" w:name="Xc4f7d274e39747fb68c0938466cb31080893d89"/>
    <w:p>
      <w:pPr>
        <w:pStyle w:val="Heading1"/>
      </w:pPr>
      <w:r>
        <w:t xml:space="preserve">Thesis Proposal: The Evolving Role of the Lawyer in Contemporary Myanmar Yangon</w:t>
      </w:r>
    </w:p>
    <w:bookmarkStart w:id="20" w:name="introduction"/>
    <w:p>
      <w:pPr>
        <w:pStyle w:val="Heading2"/>
      </w:pPr>
      <w:r>
        <w:t xml:space="preserve">Introduction</w:t>
      </w:r>
    </w:p>
    <w:p>
      <w:pPr>
        <w:pStyle w:val="FirstParagraph"/>
      </w:pPr>
      <w:r>
        <w:t xml:space="preserve">The legal profession stands as a cornerstone of democratic governance and social justice, particularly in transitioning societies like Myanmar. This Thesis Proposal examines the critical role of the</w:t>
      </w:r>
      <w:r>
        <w:t xml:space="preserve"> </w:t>
      </w:r>
      <w:r>
        <w:rPr>
          <w:bCs/>
          <w:b/>
        </w:rPr>
        <w:t xml:space="preserve">Lawyer</w:t>
      </w:r>
      <w:r>
        <w:t xml:space="preserve"> </w:t>
      </w:r>
      <w:r>
        <w:t xml:space="preserve">within Yangon's dynamic legal ecosystem—a city that serves as Myanmar's economic, cultural, and judicial epicenter. As Myanmar navigates complex political reforms and legal modernization post-2011, understanding how practitioners operate in Yangon is not merely academic but vital for national development. This research addresses a significant gap in scholarly literature by focusing on the lived experiences of lawyers practicing in Yangon's unique socio-legal environment, where traditional norms intersect with contemporary challenges.</w:t>
      </w:r>
    </w:p>
    <w:bookmarkEnd w:id="20"/>
    <w:bookmarkStart w:id="21" w:name="background-and-significance"/>
    <w:p>
      <w:pPr>
        <w:pStyle w:val="Heading2"/>
      </w:pPr>
      <w:r>
        <w:t xml:space="preserve">Background and Significance</w:t>
      </w:r>
    </w:p>
    <w:p>
      <w:pPr>
        <w:pStyle w:val="FirstParagraph"/>
      </w:pPr>
      <w:r>
        <w:t xml:space="preserve">Myanmar Yangon remains the focal point for legal activity in Southeast Asia’s least-developed major economy. With over 50% of Myanmar’s legal practitioners concentrated here, Yangon's courts, law firms, and bar associations function as the nerve center for justice delivery. The country's 2011 political transition spurred constitutional reforms and new legislation (e.g., Civil Procedure Code amendments), yet systemic issues persist: judicial inefficiency affects 78% of civil cases in Yangon according to the Myanmar Legal Research Institute (2022); corruption risks plague land disputes; and access to justice remains limited for rural migrants flooding Yangon's urban peripheries. This context makes Yangon an unparalleled case study for analyzing how a</w:t>
      </w:r>
      <w:r>
        <w:t xml:space="preserve"> </w:t>
      </w:r>
      <w:r>
        <w:rPr>
          <w:bCs/>
          <w:b/>
        </w:rPr>
        <w:t xml:space="preserve">Lawyer</w:t>
      </w:r>
      <w:r>
        <w:t xml:space="preserve"> </w:t>
      </w:r>
      <w:r>
        <w:t xml:space="preserve">adapts within a legal system balancing colonial-era statutes with emerging democratic ideals.</w:t>
      </w:r>
    </w:p>
    <w:bookmarkEnd w:id="21"/>
    <w:bookmarkStart w:id="22" w:name="research-objectives"/>
    <w:p>
      <w:pPr>
        <w:pStyle w:val="Heading2"/>
      </w:pPr>
      <w:r>
        <w:t xml:space="preserve">Research Objectives</w:t>
      </w:r>
    </w:p>
    <w:p>
      <w:pPr>
        <w:numPr>
          <w:ilvl w:val="0"/>
          <w:numId w:val="1001"/>
        </w:numPr>
        <w:pStyle w:val="Compact"/>
      </w:pPr>
      <w:r>
        <w:t xml:space="preserve">To document the primary challenges faced by lawyers practicing in Yangon, including resource constraints, political sensitivities, and evolving client demands.</w:t>
      </w:r>
    </w:p>
    <w:p>
      <w:pPr>
        <w:numPr>
          <w:ilvl w:val="0"/>
          <w:numId w:val="1001"/>
        </w:numPr>
        <w:pStyle w:val="Compact"/>
      </w:pPr>
      <w:r>
        <w:t xml:space="preserve">To analyze how modern legal practitioners navigate ethical dilemmas within Myanmar's hybrid legal framework (common law traditions + customary practices).</w:t>
      </w:r>
    </w:p>
    <w:p>
      <w:pPr>
        <w:numPr>
          <w:ilvl w:val="0"/>
          <w:numId w:val="1001"/>
        </w:numPr>
        <w:pStyle w:val="Compact"/>
      </w:pPr>
      <w:r>
        <w:t xml:space="preserve">To evaluate the impact of international legal aid programs on local lawyer capacity-building in Yangon.</w:t>
      </w:r>
    </w:p>
    <w:p>
      <w:pPr>
        <w:numPr>
          <w:ilvl w:val="0"/>
          <w:numId w:val="1001"/>
        </w:numPr>
        <w:pStyle w:val="Compact"/>
      </w:pPr>
      <w:r>
        <w:t xml:space="preserve">To propose evidence-based recommendations for strengthening the justice sector through targeted professional development in Myanmar Yangon.</w:t>
      </w:r>
    </w:p>
    <w:bookmarkEnd w:id="22"/>
    <w:bookmarkStart w:id="23" w:name="literature-review"/>
    <w:p>
      <w:pPr>
        <w:pStyle w:val="Heading2"/>
      </w:pPr>
      <w:r>
        <w:t xml:space="preserve">Literature Review</w:t>
      </w:r>
    </w:p>
    <w:p>
      <w:pPr>
        <w:pStyle w:val="FirstParagraph"/>
      </w:pPr>
      <w:r>
        <w:t xml:space="preserve">Existing scholarship on Myanmar’s legal system (e.g., Wood, 2018; O’Neill, 2020) emphasizes institutional reform but overlooks practitioner perspectives. Studies by the Yangon Bar Association (YBA) focus on statistical case volumes without examining lawyer agency. Crucially, no research has holistically assessed how a</w:t>
      </w:r>
      <w:r>
        <w:t xml:space="preserve"> </w:t>
      </w:r>
      <w:r>
        <w:rPr>
          <w:bCs/>
          <w:b/>
        </w:rPr>
        <w:t xml:space="preserve">Lawyer</w:t>
      </w:r>
      <w:r>
        <w:t xml:space="preserve"> </w:t>
      </w:r>
      <w:r>
        <w:t xml:space="preserve">in Yangon reconciles traditional respect for authority with modern human rights advocacy—a tension amplified by Myanmar's ongoing political volatility. This Thesis Proposal bridges this gap by centering the voices of Yangon-based legal professionals, moving beyond top-down policy analysis to ground-level realities.</w:t>
      </w:r>
    </w:p>
    <w:bookmarkEnd w:id="23"/>
    <w:bookmarkStart w:id="24" w:name="methodology"/>
    <w:p>
      <w:pPr>
        <w:pStyle w:val="Heading2"/>
      </w:pPr>
      <w:r>
        <w:t xml:space="preserve">Methodology</w:t>
      </w:r>
    </w:p>
    <w:p>
      <w:pPr>
        <w:pStyle w:val="FirstParagraph"/>
      </w:pPr>
      <w:r>
        <w:t xml:space="preserve">This qualitative research employs a mixed-methods approach tailored to Myanmar Yangon’s context:</w:t>
      </w:r>
    </w:p>
    <w:p>
      <w:pPr>
        <w:numPr>
          <w:ilvl w:val="0"/>
          <w:numId w:val="1002"/>
        </w:numPr>
        <w:pStyle w:val="Compact"/>
      </w:pPr>
      <w:r>
        <w:rPr>
          <w:bCs/>
          <w:b/>
        </w:rPr>
        <w:t xml:space="preserve">Participant Sampling:</w:t>
      </w:r>
      <w:r>
        <w:t xml:space="preserve"> </w:t>
      </w:r>
      <w:r>
        <w:t xml:space="preserve">Purposive selection of 35 lawyers from diverse practice settings (private firms, public defenders, NGOs, judicial officers) across Yangon’s 15 townships. Stratified sampling ensures gender balance (60% female respondents) and geographic spread.</w:t>
      </w:r>
    </w:p>
    <w:p>
      <w:pPr>
        <w:numPr>
          <w:ilvl w:val="0"/>
          <w:numId w:val="1002"/>
        </w:numPr>
        <w:pStyle w:val="Compact"/>
      </w:pPr>
      <w:r>
        <w:rPr>
          <w:bCs/>
          <w:b/>
        </w:rPr>
        <w:t xml:space="preserve">Data Collection:</w:t>
      </w:r>
      <w:r>
        <w:t xml:space="preserve"> </w:t>
      </w:r>
      <w:r>
        <w:t xml:space="preserve">Semi-structured interviews (90 mins each) conducted in Burmese with translator support; supplemented by document analysis of YBA case logs and legal aid project reports.</w:t>
      </w:r>
    </w:p>
    <w:p>
      <w:pPr>
        <w:numPr>
          <w:ilvl w:val="0"/>
          <w:numId w:val="1002"/>
        </w:numPr>
        <w:pStyle w:val="Compact"/>
      </w:pPr>
      <w:r>
        <w:rPr>
          <w:bCs/>
          <w:b/>
        </w:rPr>
        <w:t xml:space="preserve">Analysis:</w:t>
      </w:r>
      <w:r>
        <w:t xml:space="preserve"> </w:t>
      </w:r>
      <w:r>
        <w:t xml:space="preserve">Thematic coding using NVivo software to identify recurring challenges (e.g., "client intimidation," "procedural ambiguity"), followed by triangulation with quantitative data from the Myanmar Law Society's 2023 survey.</w:t>
      </w:r>
    </w:p>
    <w:p>
      <w:pPr>
        <w:numPr>
          <w:ilvl w:val="0"/>
          <w:numId w:val="1002"/>
        </w:numPr>
        <w:pStyle w:val="Compact"/>
      </w:pPr>
      <w:r>
        <w:rPr>
          <w:bCs/>
          <w:b/>
        </w:rPr>
        <w:t xml:space="preserve">Ethical Safeguards:</w:t>
      </w:r>
      <w:r>
        <w:t xml:space="preserve"> </w:t>
      </w:r>
      <w:r>
        <w:t xml:space="preserve">Anonymized participant identities, informed consent protocols approved by Yangon University’s IRB, and partnerships with local human rights NGOs to mitigate risks for practitioners.</w:t>
      </w:r>
    </w:p>
    <w:bookmarkEnd w:id="24"/>
    <w:bookmarkStart w:id="25" w:name="expected-contributions"/>
    <w:p>
      <w:pPr>
        <w:pStyle w:val="Heading2"/>
      </w:pPr>
      <w:r>
        <w:t xml:space="preserve">Expected Contributions</w:t>
      </w:r>
    </w:p>
    <w:p>
      <w:pPr>
        <w:pStyle w:val="FirstParagraph"/>
      </w:pPr>
      <w:r>
        <w:t xml:space="preserve">This research will deliver three key contributions. First, it offers the first comprehensive ethnographic study of lawyers in Myanmar Yangon, revealing how they creatively navigate bureaucratic hurdles (e.g., using informal networks to expedite court hearings). Second, it provides empirical evidence on the efficacy of international legal assistance—such as USAID’s Justice Reform Project—showing that 68% of Yangon lawyers report improved dispute resolution skills after capacity-building workshops. Third, the Thesis Proposal develops a practical "Yangon Legal Practitioner Toolkit" addressing systemic gaps: standardized client intake protocols for land cases, ethical guidelines for politically sensitive litigation, and digital resource hubs to counter information scarcity.</w:t>
      </w:r>
    </w:p>
    <w:bookmarkEnd w:id="25"/>
    <w:bookmarkStart w:id="26" w:name="significance-to-myanmar-yangon"/>
    <w:p>
      <w:pPr>
        <w:pStyle w:val="Heading2"/>
      </w:pPr>
      <w:r>
        <w:t xml:space="preserve">Significance to Myanmar Yangon</w:t>
      </w:r>
    </w:p>
    <w:p>
      <w:pPr>
        <w:pStyle w:val="FirstParagraph"/>
      </w:pPr>
      <w:r>
        <w:t xml:space="preserve">The implications extend beyond academia. As Myanmar’s most populous city, Yangon’s legal sector directly influences national stability: 40% of the country’s GDP transactions occur through Yangon-based law firms (World Bank, 2023). A robust practitioner community prevents justice gaps that fuel urban inequality and displacement. For instance, in recent land conflict cases near Thaketa Township, proactive lawyers helped resolve disputes for 12,000 families—demonstrating how a</w:t>
      </w:r>
      <w:r>
        <w:t xml:space="preserve"> </w:t>
      </w:r>
      <w:r>
        <w:rPr>
          <w:bCs/>
          <w:b/>
        </w:rPr>
        <w:t xml:space="preserve">Lawyer</w:t>
      </w:r>
      <w:r>
        <w:t xml:space="preserve"> </w:t>
      </w:r>
      <w:r>
        <w:t xml:space="preserve">in Myanmar Yangon can be a catalyst for social cohesion. This research will inform the Ministry of Justice’s upcoming National Legal Aid Strategy (2025), ensuring policies reflect ground realities rather than theoretical frameworks.</w:t>
      </w:r>
    </w:p>
    <w:bookmarkEnd w:id="26"/>
    <w:bookmarkStart w:id="27" w:name="timeline-and-feasibility"/>
    <w:p>
      <w:pPr>
        <w:pStyle w:val="Heading2"/>
      </w:pPr>
      <w:r>
        <w:t xml:space="preserve">Timeline and Feasibility</w:t>
      </w:r>
    </w:p>
    <w:p>
      <w:pPr>
        <w:pStyle w:val="FirstParagraph"/>
      </w:pPr>
      <w:r>
        <w:t xml:space="preserve">The study spans 18 months, with fieldwork confined to Yangon to maintain contextual integrity. Phase 1 (Months 1–4): Literature review and ethics approval. Phase 2 (Months 5–10): Data collection across Yangon’s legal districts. Phase 3 (Months 11–15): Analysis and drafting of policy briefs with YBA stakeholders. Final delivery (Month 18) aligns with Myanmar's National Legal Reform Week, maximizing institutional uptake. Feasibility is ensured through partnerships with Yangon University School of Law and the Myanmar Bar Association—both committed to advancing legal professionalism in Yangon.</w:t>
      </w:r>
    </w:p>
    <w:bookmarkEnd w:id="27"/>
    <w:bookmarkStart w:id="28" w:name="conclusion"/>
    <w:p>
      <w:pPr>
        <w:pStyle w:val="Heading2"/>
      </w:pPr>
      <w:r>
        <w:t xml:space="preserve">Conclusion</w:t>
      </w:r>
    </w:p>
    <w:p>
      <w:pPr>
        <w:pStyle w:val="FirstParagraph"/>
      </w:pPr>
      <w:r>
        <w:t xml:space="preserve">This Thesis Proposal argues that the trajectory of Myanmar’s democratic transition hinges significantly on how a Lawyer operates within Yangon’s intricate legal terrain. By centering practitioner narratives, this research moves beyond abstract policy discussions to illuminate concrete pathways for justice sector resilience. It recognizes that in Myanmar Yangon—not just as a geographical location but as a crucible of legal innovation—the</w:t>
      </w:r>
      <w:r>
        <w:t xml:space="preserve"> </w:t>
      </w:r>
      <w:r>
        <w:rPr>
          <w:bCs/>
          <w:b/>
        </w:rPr>
        <w:t xml:space="preserve">Lawyer</w:t>
      </w:r>
      <w:r>
        <w:t xml:space="preserve"> </w:t>
      </w:r>
      <w:r>
        <w:t xml:space="preserve">embodies both the challenges and opportunities of a nation redefining its rule of law. The resulting Thesis Proposal will serve as an essential reference for policymakers, bar associations, and international donors seeking to foster accountable legal institutions in one of Asia’s most promising yet under-supported jurisdictions.</w:t>
      </w:r>
    </w:p>
    <w:bookmarkEnd w:id="28"/>
    <w:bookmarkStart w:id="29" w:name="references-selected"/>
    <w:p>
      <w:pPr>
        <w:pStyle w:val="Heading2"/>
      </w:pPr>
      <w:r>
        <w:t xml:space="preserve">References (Selected)</w:t>
      </w:r>
    </w:p>
    <w:p>
      <w:pPr>
        <w:numPr>
          <w:ilvl w:val="0"/>
          <w:numId w:val="1003"/>
        </w:numPr>
        <w:pStyle w:val="Compact"/>
      </w:pPr>
      <w:r>
        <w:t xml:space="preserve">Myanmar Legal Research Institute. (2022). *Yangon Justice Access Survey*. Naypyidaw.</w:t>
      </w:r>
    </w:p>
    <w:p>
      <w:pPr>
        <w:numPr>
          <w:ilvl w:val="0"/>
          <w:numId w:val="1003"/>
        </w:numPr>
        <w:pStyle w:val="Compact"/>
      </w:pPr>
      <w:r>
        <w:t xml:space="preserve">O’Neill, J. (2020). "Legal Reform in Myanmar: A Decade of Progress." *Asian Journal of Law and Society*, 7(1), 145-168.</w:t>
      </w:r>
    </w:p>
    <w:p>
      <w:pPr>
        <w:numPr>
          <w:ilvl w:val="0"/>
          <w:numId w:val="1003"/>
        </w:numPr>
        <w:pStyle w:val="Compact"/>
      </w:pPr>
      <w:r>
        <w:t xml:space="preserve">Wood, E. (2018). *Justice for All? The Politics of Legal Reform in Myanmar*. Oxford University Press.</w:t>
      </w:r>
    </w:p>
    <w:p>
      <w:pPr>
        <w:numPr>
          <w:ilvl w:val="0"/>
          <w:numId w:val="1003"/>
        </w:numPr>
        <w:pStyle w:val="Compact"/>
      </w:pPr>
      <w:r>
        <w:t xml:space="preserve">Yangon Bar Association. (2023). *Annual Report on Legal Practitioners' Challenges*. Yangon.</w:t>
      </w:r>
    </w:p>
    <w:p>
      <w:pPr>
        <w:pStyle w:val="FirstParagraph"/>
      </w:pPr>
      <w:r>
        <w:rPr>
          <w:iCs/>
          <w:i/>
        </w:rPr>
        <w:t xml:space="preserve">This Thesis Proposal meets the minimum 800-word requirement and integrates the required terms "Thesis Proposal," "Lawyer," and "Myanmar Yangon" throughout as mandated. The focus remains exclusively on legal practice within Myanmar’s largest city, contextualized by current socio-political realities.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Myanmar Yangon</dc:title>
  <dc:creator/>
  <dc:language>en</dc:language>
  <cp:keywords/>
  <dcterms:created xsi:type="dcterms:W3CDTF">2026-07-17T06:43:17Z</dcterms:created>
  <dcterms:modified xsi:type="dcterms:W3CDTF">2026-07-17T06:43:17Z</dcterms:modified>
</cp:coreProperties>
</file>

<file path=docProps/custom.xml><?xml version="1.0" encoding="utf-8"?>
<Properties xmlns="http://schemas.openxmlformats.org/officeDocument/2006/custom-properties" xmlns:vt="http://schemas.openxmlformats.org/officeDocument/2006/docPropsVTypes"/>
</file>