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9" w:name="X2b3f99605f09b2b18c53c54c317b919d6bc77ed"/>
    <w:p>
      <w:pPr>
        <w:pStyle w:val="Heading1"/>
      </w:pPr>
      <w:r>
        <w:t xml:space="preserve">Thesis Proposal: The Evolving Role of the Lawyer in Netherlands Amsterdam</w:t>
      </w:r>
    </w:p>
    <w:bookmarkStart w:id="20" w:name="abstract"/>
    <w:p>
      <w:pPr>
        <w:pStyle w:val="Heading2"/>
      </w:pPr>
      <w:r>
        <w:t xml:space="preserve">Abstract</w:t>
      </w:r>
    </w:p>
    <w:p>
      <w:pPr>
        <w:pStyle w:val="FirstParagraph"/>
      </w:pPr>
      <w:r>
        <w:t xml:space="preserve">This thesis proposal investigates the contemporary professional landscape, ethical challenges, and strategic imperatives confronting the Lawyer within the specific socio-legal ecosystem of Amsterdam, Netherlands. As a pivotal node in Europe’s legal infrastructure, Amsterdam demands a nuanced understanding of how the Lawyer operates beyond conventional practice models. This research critically examines whether traditional legal roles are adapting effectively to Amsterdam's unique position as an international arbitration hub, its deep integration into European Union regulatory frameworks, and the city’s dynamic multicultural business environment. The study will employ qualitative analysis of legal practitioners, institutional policies, and case law from the Netherlands Amsterdam jurisdiction to determine actionable pathways for the Lawyer to maintain relevance in a rapidly transforming legal market.</w:t>
      </w:r>
    </w:p>
    <w:bookmarkEnd w:id="20"/>
    <w:bookmarkStart w:id="21" w:name="X872f6729684a1eb2e62e766b8241a259abcb026"/>
    <w:p>
      <w:pPr>
        <w:pStyle w:val="Heading2"/>
      </w:pPr>
      <w:r>
        <w:t xml:space="preserve">Introduction: The Context of Legal Practice in Netherlands Amsterdam</w:t>
      </w:r>
    </w:p>
    <w:p>
      <w:pPr>
        <w:pStyle w:val="FirstParagraph"/>
      </w:pPr>
      <w:r>
        <w:t xml:space="preserve">The city of Amsterdam stands as a cornerstone of legal innovation within the Netherlands, hosting major institutions like the Court of Appeal (Rechtbank Amsterdam), the Dutch Supreme Court’s international chambers, and numerous multinational law firms. The Lawyer operating within this environment faces a confluence of pressures: stringent Dutch professional conduct rules governed by the Nederlandse Orde van Advocaten (Dutch Bar Association), evolving EU directives necessitating cross-border compliance, and heightened client expectations in a globalized economy. This proposal argues that the traditional conception of the Lawyer—focusing primarily on litigation or transactional advice—is insufficient for success in Amsterdam today. A modern Lawyer must integrate digital legal tools, cultural intelligence for an international clientele, and proactive engagement with Amsterdam’s specific urban governance challenges (e.g., housing law complexities, sustainable business regulations). The Netherlands Amsterdam context demands a redefinition of the Lawyer's value proposition.</w:t>
      </w:r>
    </w:p>
    <w:bookmarkEnd w:id="21"/>
    <w:bookmarkStart w:id="22" w:name="X9b83079910e0f8af4c48a34f0b06b780438918c"/>
    <w:p>
      <w:pPr>
        <w:pStyle w:val="Heading2"/>
      </w:pPr>
      <w:r>
        <w:t xml:space="preserve">Literature Review: Gaps in Understanding the Amsterdam Legal Practitioner</w:t>
      </w:r>
    </w:p>
    <w:p>
      <w:pPr>
        <w:pStyle w:val="FirstParagraph"/>
      </w:pPr>
      <w:r>
        <w:t xml:space="preserve">Existing scholarship on legal practice predominantly focuses on common-law jurisdictions (e.g., US, UK) or theoretical models divorced from Amsterdam’s reality. While studies exist on Dutch civil law principles (e.g., works by de Vries on *Burgerlijk Wetboek*), few analyze the Lawyer’s day-to-day operational challenges within the specific municipal and international frameworks of Netherlands Amsterdam. Research by Van Dijk (2021) touches upon EU legal harmonization but overlooks micro-level adaptations required in Amsterdam-based practice. Crucially, no comprehensive study examines how the Lawyer navigates Amsterdam’s unique blend of historical legal traditions, modern international arbitration norms (e.g., under the ICC Rules hosted at TNO facilities), and its status as a leading fintech and sustainability hub. This gap necessitates primary research focused explicitly on the Lawyer in Netherlands Amsterdam.</w:t>
      </w:r>
    </w:p>
    <w:bookmarkEnd w:id="22"/>
    <w:bookmarkStart w:id="23" w:name="research-questions"/>
    <w:p>
      <w:pPr>
        <w:pStyle w:val="Heading2"/>
      </w:pPr>
      <w:r>
        <w:t xml:space="preserve">Research Questions</w:t>
      </w:r>
    </w:p>
    <w:p>
      <w:pPr>
        <w:numPr>
          <w:ilvl w:val="0"/>
          <w:numId w:val="1001"/>
        </w:numPr>
        <w:pStyle w:val="Compact"/>
      </w:pPr>
      <w:r>
        <w:t xml:space="preserve">How do Lawyers in Amsterdam adapt their professional identity, skill sets, and service delivery models to meet the demands of cross-border EU regulation and international client expectations within the Netherlands legal framework?</w:t>
      </w:r>
    </w:p>
    <w:p>
      <w:pPr>
        <w:numPr>
          <w:ilvl w:val="0"/>
          <w:numId w:val="1001"/>
        </w:numPr>
        <w:pStyle w:val="Compact"/>
      </w:pPr>
      <w:r>
        <w:t xml:space="preserve">To what extent does Amsterdam’s distinct urban policy environment (e.g., housing law reforms, climate litigation) reshape core competencies required of the Lawyer?</w:t>
      </w:r>
    </w:p>
    <w:p>
      <w:pPr>
        <w:numPr>
          <w:ilvl w:val="0"/>
          <w:numId w:val="1001"/>
        </w:numPr>
        <w:pStyle w:val="Compact"/>
      </w:pPr>
      <w:r>
        <w:t xml:space="preserve">What ethical tensions arise for the Lawyer operating in Amsterdam's dense network of public-private legal entities, and how are these resolved?</w:t>
      </w:r>
    </w:p>
    <w:bookmarkEnd w:id="23"/>
    <w:bookmarkStart w:id="24" w:name="methodology"/>
    <w:p>
      <w:pPr>
        <w:pStyle w:val="Heading2"/>
      </w:pPr>
      <w:r>
        <w:t xml:space="preserve">Methodology</w:t>
      </w:r>
    </w:p>
    <w:p>
      <w:pPr>
        <w:pStyle w:val="FirstParagraph"/>
      </w:pPr>
      <w:r>
        <w:t xml:space="preserve">This research employs a qualitative case study approach. Data will be gathered through:</w:t>
      </w:r>
    </w:p>
    <w:p>
      <w:pPr>
        <w:numPr>
          <w:ilvl w:val="0"/>
          <w:numId w:val="1002"/>
        </w:numPr>
        <w:pStyle w:val="Compact"/>
      </w:pPr>
      <w:r>
        <w:rPr>
          <w:bCs/>
          <w:b/>
        </w:rPr>
        <w:t xml:space="preserve">Semi-structured interviews</w:t>
      </w:r>
      <w:r>
        <w:t xml:space="preserve">: 30+ in-depth interviews with Lawyers from diverse Amsterdam law firms (large international, mid-sized Dutch, and niche specialists), the Nederlandse Orde van Advocaten representatives, and legal tech startups operating within Amsterdam.</w:t>
      </w:r>
    </w:p>
    <w:p>
      <w:pPr>
        <w:numPr>
          <w:ilvl w:val="0"/>
          <w:numId w:val="1002"/>
        </w:numPr>
        <w:pStyle w:val="Compact"/>
      </w:pPr>
      <w:r>
        <w:rPr>
          <w:bCs/>
          <w:b/>
        </w:rPr>
        <w:t xml:space="preserve">Document analysis</w:t>
      </w:r>
      <w:r>
        <w:t xml:space="preserve">: Review of recent Dutch legal practice guidelines (e.g., 2023 *Code of Conduct* updates), significant case law from the Amsterdam Court of Appeal, and institutional reports from the Amsterdam Bar Association on emerging practice trends.</w:t>
      </w:r>
    </w:p>
    <w:p>
      <w:pPr>
        <w:numPr>
          <w:ilvl w:val="0"/>
          <w:numId w:val="1002"/>
        </w:numPr>
        <w:pStyle w:val="Compact"/>
      </w:pPr>
      <w:r>
        <w:rPr>
          <w:bCs/>
          <w:b/>
        </w:rPr>
        <w:t xml:space="preserve">Participant observation</w:t>
      </w:r>
      <w:r>
        <w:t xml:space="preserve">: Brief shadowing periods within selected practices to observe real-time Lawyer-client interactions and internal workflows in the Netherlands Amsterdam context.</w:t>
      </w:r>
    </w:p>
    <w:p>
      <w:pPr>
        <w:pStyle w:val="FirstParagraph"/>
      </w:pPr>
      <w:r>
        <w:t xml:space="preserve">Analysis will utilize thematic coding to identify patterns in adaptation strategies, ethical dilemmas, and service innovation. Ethical approval will be sought from the University of Amsterdam’s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Develops a novel framework for understanding the Lawyer as a "contextualized professional" within a specific global city (Amsterdam) of the Netherlands, moving beyond generic legal theory.</w:t>
      </w:r>
    </w:p>
    <w:p>
      <w:pPr>
        <w:numPr>
          <w:ilvl w:val="0"/>
          <w:numId w:val="1003"/>
        </w:numPr>
        <w:pStyle w:val="Compact"/>
      </w:pPr>
      <w:r>
        <w:rPr>
          <w:bCs/>
          <w:b/>
        </w:rPr>
        <w:t xml:space="preserve">Practical:</w:t>
      </w:r>
      <w:r>
        <w:t xml:space="preserve"> </w:t>
      </w:r>
      <w:r>
        <w:t xml:space="preserve">Provides actionable recommendations for Lawyers in Amsterdam to enhance competitiveness, including skill development priorities (e.g., data privacy law fluency, Dutch-English bilingual negotiation), firm management strategies for diverse caseloads, and ethical navigation of Amsterdam’s unique municipal regulatory landscape.</w:t>
      </w:r>
    </w:p>
    <w:p>
      <w:pPr>
        <w:numPr>
          <w:ilvl w:val="0"/>
          <w:numId w:val="1003"/>
        </w:numPr>
        <w:pStyle w:val="Compact"/>
      </w:pPr>
      <w:r>
        <w:rPr>
          <w:bCs/>
          <w:b/>
        </w:rPr>
        <w:t xml:space="preserve">Policy:</w:t>
      </w:r>
      <w:r>
        <w:t xml:space="preserve"> </w:t>
      </w:r>
      <w:r>
        <w:t xml:space="preserve">Offers evidence-based insights to the Nederlandse Orde van Advocaten on potential updates to training requirements or continuing professional development (CPD) mandates relevant to Netherlands Amsterdam’s evolving market needs.</w:t>
      </w:r>
    </w:p>
    <w:bookmarkEnd w:id="25"/>
    <w:bookmarkStart w:id="26" w:name="X9d4decafdc5a3268759c8a96ec231b4a24eef3c"/>
    <w:p>
      <w:pPr>
        <w:pStyle w:val="Heading2"/>
      </w:pPr>
      <w:r>
        <w:t xml:space="preserve">Significance for the Netherlands Amsterdam Legal Ecosystem</w:t>
      </w:r>
    </w:p>
    <w:p>
      <w:pPr>
        <w:pStyle w:val="FirstParagraph"/>
      </w:pPr>
      <w:r>
        <w:t xml:space="preserve">Amsterdam’s position as a leading European legal destination is not guaranteed. The Lawyer plays a decisive role in maintaining this status. This research directly addresses the Netherlands’ strategic interest in securing its reputation as a hub for rule of law and international dispute resolution. By elucidating how the Lawyer adapts to Amsterdam-specific pressures (e.g., post-Brexit EU regulatory shifts, demands from climate-conscious investors), the findings will empower legal practitioners to serve Dutch businesses, international entities, and the public more effectively. Ultimately, understanding the modern Lawyer in Netherlands Amsterdam is not merely an academic exercise—it is crucial for sustaining the city’s economic vitality and its contribution to a stable European legal order.</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completion, ethics approval, interview guide finalization.</w:t>
      </w:r>
      <w:r>
        <w:br/>
      </w:r>
      <w:r>
        <w:rPr>
          <w:bCs/>
          <w:b/>
        </w:rPr>
        <w:t xml:space="preserve">Months 4-6:</w:t>
      </w:r>
      <w:r>
        <w:t xml:space="preserve"> </w:t>
      </w:r>
      <w:r>
        <w:t xml:space="preserve">Conducting interviews and document analysis in Amsterdam.</w:t>
      </w:r>
      <w:r>
        <w:br/>
      </w:r>
      <w:r>
        <w:rPr>
          <w:bCs/>
          <w:b/>
        </w:rPr>
        <w:t xml:space="preserve">Months 7-9:</w:t>
      </w:r>
      <w:r>
        <w:t xml:space="preserve"> </w:t>
      </w:r>
      <w:r>
        <w:t xml:space="preserve">Thematic coding, preliminary findings synthesis.</w:t>
      </w:r>
      <w:r>
        <w:br/>
      </w:r>
      <w:r>
        <w:rPr>
          <w:bCs/>
          <w:b/>
        </w:rPr>
        <w:t xml:space="preserve">Months 10-12:</w:t>
      </w:r>
      <w:r>
        <w:t xml:space="preserve"> </w:t>
      </w:r>
      <w:r>
        <w:t xml:space="preserve">Drafting thesis, incorporating feedback from Amsterdam-based legal scholars and practitioners.</w:t>
      </w:r>
    </w:p>
    <w:bookmarkEnd w:id="27"/>
    <w:bookmarkStart w:id="28" w:name="bibliography-selected"/>
    <w:p>
      <w:pPr>
        <w:pStyle w:val="Heading2"/>
      </w:pPr>
      <w:r>
        <w:t xml:space="preserve">Bibliography (Selected)</w:t>
      </w:r>
    </w:p>
    <w:p>
      <w:pPr>
        <w:numPr>
          <w:ilvl w:val="0"/>
          <w:numId w:val="1004"/>
        </w:numPr>
        <w:pStyle w:val="Compact"/>
      </w:pPr>
      <w:r>
        <w:t xml:space="preserve">De Vries, A. (2020). *Dutch Civil Law: Principles and Practice*. Kluwer Law International.</w:t>
      </w:r>
    </w:p>
    <w:p>
      <w:pPr>
        <w:numPr>
          <w:ilvl w:val="0"/>
          <w:numId w:val="1004"/>
        </w:numPr>
        <w:pStyle w:val="Compact"/>
      </w:pPr>
      <w:r>
        <w:t xml:space="preserve">European Commission. (2023). *EU Legal Framework and Cross-Border Disputes in the Netherlands*.</w:t>
      </w:r>
    </w:p>
    <w:p>
      <w:pPr>
        <w:numPr>
          <w:ilvl w:val="0"/>
          <w:numId w:val="1004"/>
        </w:numPr>
        <w:pStyle w:val="Compact"/>
      </w:pPr>
      <w:r>
        <w:t xml:space="preserve">Nederlandse Orde van Advocaten. (2023). *Code of Professional Conduct for Lawyers*.</w:t>
      </w:r>
    </w:p>
    <w:p>
      <w:pPr>
        <w:numPr>
          <w:ilvl w:val="0"/>
          <w:numId w:val="1004"/>
        </w:numPr>
        <w:pStyle w:val="Compact"/>
      </w:pPr>
      <w:r>
        <w:t xml:space="preserve">Van Dijk, M. (2021). "Adapting Legal Practice Post-Brexit: The Dutch Perspective." *European Law Journal*, 27(4), 512-530.</w:t>
      </w:r>
    </w:p>
    <w:p>
      <w:pPr>
        <w:numPr>
          <w:ilvl w:val="0"/>
          <w:numId w:val="1004"/>
        </w:numPr>
        <w:pStyle w:val="Compact"/>
      </w:pPr>
      <w:r>
        <w:t xml:space="preserve">Amsterdam Court of Appeal. (Relevant Case Law Database - accessed via Legalbase).</w:t>
      </w:r>
    </w:p>
    <w:p>
      <w:pPr>
        <w:pStyle w:val="FirstParagraph"/>
      </w:pPr>
      <w:r>
        <w:t xml:space="preserve">This Thesis Proposal establishes a focused, timely, and locally grounded investigation into the indispensable role of the Lawyer within the dynamic legal landscape of Netherlands Amsterdam. It moves beyond abstract discussion to address concrete challenges faced by legal professionals operating at the heart of Europe's most significant international city-state nexus, directly serving the interests of both scholarly advancement and professional practice in this unique jurisdiction.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Netherlands Amsterdam</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