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New</w:t>
      </w:r>
      <w:r>
        <w:t xml:space="preserve"> </w:t>
      </w:r>
      <w:r>
        <w:t xml:space="preserve">Zealand</w:t>
      </w:r>
      <w:r>
        <w:t xml:space="preserve"> </w:t>
      </w:r>
      <w:r>
        <w:t xml:space="preserve">Wellington's</w:t>
      </w:r>
      <w:r>
        <w:t xml:space="preserve"> </w:t>
      </w:r>
      <w:r>
        <w:t xml:space="preserve">Legal</w:t>
      </w:r>
      <w:r>
        <w:t xml:space="preserve"> </w:t>
      </w:r>
      <w:r>
        <w:t xml:space="preserve">Landscape</w:t>
      </w:r>
    </w:p>
    <w:bookmarkStart w:id="28" w:name="X170e81ee80066fcb2f74498190ba68bea5dd064"/>
    <w:p>
      <w:pPr>
        <w:pStyle w:val="Heading1"/>
      </w:pPr>
      <w:r>
        <w:t xml:space="preserve">Thesis Proposal: The Evolving Role of the Lawyer in New Zealand Wellington's Legal Landscape</w:t>
      </w:r>
    </w:p>
    <w:bookmarkStart w:id="20" w:name="introduction"/>
    <w:p>
      <w:pPr>
        <w:pStyle w:val="Heading2"/>
      </w:pPr>
      <w:r>
        <w:t xml:space="preserve">Introduction</w:t>
      </w:r>
    </w:p>
    <w:p>
      <w:pPr>
        <w:pStyle w:val="FirstParagraph"/>
      </w:pPr>
      <w:r>
        <w:t xml:space="preserve">The legal profession in New Zealand continues to undergo significant transformation, with practitioners in the nation's capital city of Wellington at the forefront of this evolution. This Thesis Proposal outlines a critical investigation into how contemporary lawyers operating within New Zealand Wellington navigate complex socio-legal challenges while upholding justice in an increasingly dynamic urban environment. As the political and administrative heart of Aotearoa, Wellington presents unique legal terrain where constitutional law, environmental regulation, Māori rights, and urban development intersect. This research directly addresses a gap in scholarly understanding regarding the practical realities faced by lawyers practicing within this specific jurisdiction. By focusing on Wellington's distinct legal ecosystem—from Parliament Buildings to regional district courts—we aim to provide actionable insights for both legal practitioners and policymakers shaping New Zealand's future.</w:t>
      </w:r>
    </w:p>
    <w:bookmarkEnd w:id="20"/>
    <w:bookmarkStart w:id="21" w:name="X4920c36a805176fbea21faffb4bc6d0ac7dff63"/>
    <w:p>
      <w:pPr>
        <w:pStyle w:val="Heading2"/>
      </w:pPr>
      <w:r>
        <w:t xml:space="preserve">Literature Review: Contextualizing the Lawyer in Wellington</w:t>
      </w:r>
    </w:p>
    <w:p>
      <w:pPr>
        <w:pStyle w:val="FirstParagraph"/>
      </w:pPr>
      <w:r>
        <w:t xml:space="preserve">Existing scholarship on New Zealand law predominantly examines legislative frameworks or high-profile cases without sufficient attention to localized practice. While studies like Smith (2019) analyze national legal reforms, and Jones (2021) explore Māori-Crown relations broadly, none concentrate specifically on Wellington's legal practitioners' daily experiences. Crucially, Wellington operates within a unique confluence: it houses New Zealand’s central government agencies (like the Ministry for the Environment), key judicial institutions (High Court of New Zealand - Wellington Registry), and internationally recognized environmental law firms. This creates a pressure cooker environment where lawyers must simultaneously manage complex statutory interpretation under the Resource Management Act 1991, engage with local iwi in Treaty of Waitangi settlements, and address climate adaptation challenges unique to coastal Wellington. The absence of place-specific research leaves practitioners without evidence-based guidance for navigating these layered responsibilities.</w:t>
      </w:r>
    </w:p>
    <w:bookmarkEnd w:id="21"/>
    <w:bookmarkStart w:id="22" w:name="research-questions"/>
    <w:p>
      <w:pPr>
        <w:pStyle w:val="Heading2"/>
      </w:pPr>
      <w:r>
        <w:t xml:space="preserve">Research Questions</w:t>
      </w:r>
    </w:p>
    <w:p>
      <w:pPr>
        <w:pStyle w:val="FirstParagraph"/>
      </w:pPr>
      <w:r>
        <w:t xml:space="preserve">This study will be guided by three interconnected questions:</w:t>
      </w:r>
    </w:p>
    <w:p>
      <w:pPr>
        <w:numPr>
          <w:ilvl w:val="0"/>
          <w:numId w:val="1001"/>
        </w:numPr>
        <w:pStyle w:val="Compact"/>
      </w:pPr>
      <w:r>
        <w:t xml:space="preserve">How do lawyers in New Zealand Wellington adapt traditional legal practice models to address the intersection of urban development pressures, climate resilience demands, and Māori legal rights?</w:t>
      </w:r>
    </w:p>
    <w:p>
      <w:pPr>
        <w:numPr>
          <w:ilvl w:val="0"/>
          <w:numId w:val="1001"/>
        </w:numPr>
        <w:pStyle w:val="Compact"/>
      </w:pPr>
      <w:r>
        <w:t xml:space="preserve">In what ways does Wellington’s status as New Zealand's political capital influence the ethical dilemmas faced by lawyers in public interest advocacy versus private sector representation?</w:t>
      </w:r>
    </w:p>
    <w:p>
      <w:pPr>
        <w:numPr>
          <w:ilvl w:val="0"/>
          <w:numId w:val="1001"/>
        </w:numPr>
        <w:pStyle w:val="Compact"/>
      </w:pPr>
      <w:r>
        <w:t xml:space="preserve">What institutional support systems (or lack thereof) impact the professional well-being and effectiveness of lawyers operating within Wellington’s competitive legal market?</w:t>
      </w:r>
    </w:p>
    <w:bookmarkEnd w:id="22"/>
    <w:bookmarkStart w:id="23" w:name="methodology"/>
    <w:p>
      <w:pPr>
        <w:pStyle w:val="Heading2"/>
      </w:pPr>
      <w:r>
        <w:t xml:space="preserve">Methodology</w:t>
      </w:r>
    </w:p>
    <w:p>
      <w:pPr>
        <w:pStyle w:val="FirstParagraph"/>
      </w:pPr>
      <w:r>
        <w:t xml:space="preserve">A mixed-methods approach will be employed, combining qualitative and quantitative analysis tailored to New Zealand's context:</w:t>
      </w:r>
    </w:p>
    <w:p>
      <w:pPr>
        <w:numPr>
          <w:ilvl w:val="0"/>
          <w:numId w:val="1002"/>
        </w:numPr>
        <w:pStyle w:val="Compact"/>
      </w:pPr>
      <w:r>
        <w:rPr>
          <w:bCs/>
          <w:b/>
        </w:rPr>
        <w:t xml:space="preserve">Qualitative Phase:</w:t>
      </w:r>
      <w:r>
        <w:t xml:space="preserve"> </w:t>
      </w:r>
      <w:r>
        <w:t xml:space="preserve">In-depth interviews (n=30) with lawyers across sectors—crown prosecutors, private firms (including Wellington-based firms like Russell McVeagh and MinterEllisonRudd Watts), environmental NGOs (e.g., Greenpeace Aotearoa), and legal aid providers. All participants will have practiced in Wellington for at least five years.</w:t>
      </w:r>
    </w:p>
    <w:p>
      <w:pPr>
        <w:numPr>
          <w:ilvl w:val="0"/>
          <w:numId w:val="1002"/>
        </w:numPr>
        <w:pStyle w:val="Compact"/>
      </w:pPr>
      <w:r>
        <w:rPr>
          <w:bCs/>
          <w:b/>
        </w:rPr>
        <w:t xml:space="preserve">Quantitative Phase:</w:t>
      </w:r>
      <w:r>
        <w:t xml:space="preserve"> </w:t>
      </w:r>
      <w:r>
        <w:t xml:space="preserve">Analysis of anonymized case data from the Wellington High Court Registry (2018-2023) focusing on environmental, housing, and Treaty settlements cases to identify practice trends.</w:t>
      </w:r>
    </w:p>
    <w:p>
      <w:pPr>
        <w:numPr>
          <w:ilvl w:val="0"/>
          <w:numId w:val="1002"/>
        </w:numPr>
        <w:pStyle w:val="Compact"/>
      </w:pPr>
      <w:r>
        <w:rPr>
          <w:bCs/>
          <w:b/>
        </w:rPr>
        <w:t xml:space="preserve">Contextual Mapping:</w:t>
      </w:r>
      <w:r>
        <w:t xml:space="preserve"> </w:t>
      </w:r>
      <w:r>
        <w:t xml:space="preserve">Field observations of legal proceedings at Wellington’s Courthouse Square and engagement with the New Zealand Law Society’s Wellington chapter to understand professional networks.</w:t>
      </w:r>
    </w:p>
    <w:p>
      <w:pPr>
        <w:pStyle w:val="FirstParagraph"/>
      </w:pPr>
      <w:r>
        <w:t xml:space="preserve">All research will adhere strictly to New Zealand's Privacy Act 2020 and University of Otago Ethics Committee protocols. The methodology is designed to capture the nuanced reality of a lawyer operating within Wellington, not merely as a geographical location but as an evolving legal ecosystem.</w:t>
      </w:r>
    </w:p>
    <w:bookmarkEnd w:id="23"/>
    <w:bookmarkStart w:id="24" w:name="significance-and-expected-outcomes"/>
    <w:p>
      <w:pPr>
        <w:pStyle w:val="Heading2"/>
      </w:pPr>
      <w:r>
        <w:t xml:space="preserve">Significance and Expected Outcomes</w:t>
      </w:r>
    </w:p>
    <w:p>
      <w:pPr>
        <w:pStyle w:val="FirstParagraph"/>
      </w:pPr>
      <w:r>
        <w:t xml:space="preserve">This Thesis Proposal addresses an urgent need for context-specific knowledge that directly benefits New Zealand's legal community. The expected outcomes include:</w:t>
      </w:r>
    </w:p>
    <w:p>
      <w:pPr>
        <w:numPr>
          <w:ilvl w:val="0"/>
          <w:numId w:val="1003"/>
        </w:numPr>
        <w:pStyle w:val="Compact"/>
      </w:pPr>
      <w:r>
        <w:t xml:space="preserve">A detailed framework identifying "Wellington-specific" legal practice challenges—such as managing overlapping jurisdiction between Wellington City Council, regional authorities, and central government—which current national frameworks overlook.</w:t>
      </w:r>
    </w:p>
    <w:p>
      <w:pPr>
        <w:numPr>
          <w:ilvl w:val="0"/>
          <w:numId w:val="1003"/>
        </w:numPr>
        <w:pStyle w:val="Compact"/>
      </w:pPr>
      <w:r>
        <w:t xml:space="preserve">Policy recommendations for the New Zealand Law Society on enhancing support structures (e.g., mental health resources for lawyers handling high-stakes environmental litigation) tailored to Wellington’s unique pressures.</w:t>
      </w:r>
    </w:p>
    <w:p>
      <w:pPr>
        <w:numPr>
          <w:ilvl w:val="0"/>
          <w:numId w:val="1003"/>
        </w:numPr>
        <w:pStyle w:val="Compact"/>
      </w:pPr>
      <w:r>
        <w:t xml:space="preserve">Identification of best practices in cross-cultural legal engagement, particularly regarding Te Tiriti o Waitangi compliance, derived from Wellington-based Māori legal advocates and Crown counsel working within the city's institutions.</w:t>
      </w:r>
    </w:p>
    <w:p>
      <w:pPr>
        <w:pStyle w:val="FirstParagraph"/>
      </w:pPr>
      <w:r>
        <w:t xml:space="preserve">Crucially, this research will move beyond theoretical analysis to deliver actionable insights for lawyers currently navigating Wellington’s complex streets. For instance, understanding how a lawyer might mediate between Te Papa Museum’s coastal conservation needs and developer interests in the CBD could inform national urban law standards. The findings will be directly shared with key Wellington stakeholders: the Office of the Ombudsman (Wellington), Environmental Protection Authority offices, and local bar associations.</w:t>
      </w:r>
    </w:p>
    <w:bookmarkEnd w:id="24"/>
    <w:bookmarkStart w:id="25" w:name="timeline"/>
    <w:p>
      <w:pPr>
        <w:pStyle w:val="Heading2"/>
      </w:pPr>
      <w:r>
        <w:t xml:space="preserve">Timeline</w:t>
      </w:r>
    </w:p>
    <w:p>
      <w:pPr>
        <w:pStyle w:val="FirstParagraph"/>
      </w:pPr>
      <w:r>
        <w:t xml:space="preserve">The proposed research spans 18 months with clear milestones:</w:t>
      </w:r>
    </w:p>
    <w:p>
      <w:pPr>
        <w:numPr>
          <w:ilvl w:val="0"/>
          <w:numId w:val="1004"/>
        </w:numPr>
        <w:pStyle w:val="Compact"/>
      </w:pPr>
      <w:r>
        <w:rPr>
          <w:bCs/>
          <w:b/>
        </w:rPr>
        <w:t xml:space="preserve">Months 1-3:</w:t>
      </w:r>
      <w:r>
        <w:t xml:space="preserve"> </w:t>
      </w:r>
      <w:r>
        <w:t xml:space="preserve">Finalize ethics approvals, establish Wellington-based research partnerships, develop interview protocols.</w:t>
      </w:r>
    </w:p>
    <w:p>
      <w:pPr>
        <w:numPr>
          <w:ilvl w:val="0"/>
          <w:numId w:val="1004"/>
        </w:numPr>
        <w:pStyle w:val="Compact"/>
      </w:pPr>
      <w:r>
        <w:rPr>
          <w:bCs/>
          <w:b/>
        </w:rPr>
        <w:t xml:space="preserve">Months 4-8:</w:t>
      </w:r>
      <w:r>
        <w:t xml:space="preserve"> </w:t>
      </w:r>
      <w:r>
        <w:t xml:space="preserve">Conduct interviews and case analysis; preliminary findings shared at the Wellington Legal Writers’ Workshop (hosted by Victoria University).</w:t>
      </w:r>
    </w:p>
    <w:p>
      <w:pPr>
        <w:numPr>
          <w:ilvl w:val="0"/>
          <w:numId w:val="1004"/>
        </w:numPr>
        <w:pStyle w:val="Compact"/>
      </w:pPr>
      <w:r>
        <w:rPr>
          <w:bCs/>
          <w:b/>
        </w:rPr>
        <w:t xml:space="preserve">Months 9-12:</w:t>
      </w:r>
      <w:r>
        <w:t xml:space="preserve"> </w:t>
      </w:r>
      <w:r>
        <w:t xml:space="preserve">Quantitative data synthesis; draft chapters on ethical challenges and institutional support systems.</w:t>
      </w:r>
    </w:p>
    <w:p>
      <w:pPr>
        <w:numPr>
          <w:ilvl w:val="0"/>
          <w:numId w:val="1004"/>
        </w:numPr>
        <w:pStyle w:val="Compact"/>
      </w:pPr>
      <w:r>
        <w:rPr>
          <w:bCs/>
          <w:b/>
        </w:rPr>
        <w:t xml:space="preserve">Months 13-15:</w:t>
      </w:r>
      <w:r>
        <w:t xml:space="preserve"> </w:t>
      </w:r>
      <w:r>
        <w:t xml:space="preserve">Peer review of methodology with Wellington legal practitioners; refine policy recommendations.</w:t>
      </w:r>
    </w:p>
    <w:p>
      <w:pPr>
        <w:numPr>
          <w:ilvl w:val="0"/>
          <w:numId w:val="1004"/>
        </w:numPr>
        <w:pStyle w:val="Compact"/>
      </w:pPr>
      <w:r>
        <w:rPr>
          <w:bCs/>
          <w:b/>
        </w:rPr>
        <w:t xml:space="preserve">Months 16-18:</w:t>
      </w:r>
      <w:r>
        <w:t xml:space="preserve"> </w:t>
      </w:r>
      <w:r>
        <w:t xml:space="preserve">Final thesis writing; preparation of a practitioner-focused executive summary for the New Zealand Law Society’s Wellington branch.</w:t>
      </w:r>
    </w:p>
    <w:bookmarkEnd w:id="25"/>
    <w:bookmarkStart w:id="26" w:name="conclusion"/>
    <w:p>
      <w:pPr>
        <w:pStyle w:val="Heading2"/>
      </w:pPr>
      <w:r>
        <w:t xml:space="preserve">Conclusion</w:t>
      </w:r>
    </w:p>
    <w:p>
      <w:pPr>
        <w:pStyle w:val="FirstParagraph"/>
      </w:pPr>
      <w:r>
        <w:t xml:space="preserve">In an era where legal practice is increasingly defined by local context rather than national uniformity, this Thesis Proposal establishes a vital research agenda centered on the lawyer as both agent and interpreter of justice within New Zealand Wellington. The city’s role as Aotearoa’s governance hub demands nuanced understanding beyond textbook law—requiring practitioners to balance statutory obligations with community expectations in real-time. By documenting how lawyers in Wellington actively shape legal outcomes amid climate urgency, indigenous rights advancement, and urban transformation, this research will not only contribute to academic discourse but also provide tangible tools for the next generation of New Zealand lawyers. It affirms that a truly effective lawyer today must be deeply rooted in their locality—specifically Wellington's unique rhythm of legal innovation. This Thesis Proposal therefore stands as a necessary step toward ensuring that legal practice in New Zealand remains responsive, ethical, and future-focused within its most dynamic urban setting.</w:t>
      </w:r>
    </w:p>
    <w:bookmarkEnd w:id="26"/>
    <w:bookmarkStart w:id="27" w:name="references-excerpt"/>
    <w:p>
      <w:pPr>
        <w:pStyle w:val="Heading2"/>
      </w:pPr>
      <w:r>
        <w:t xml:space="preserve">References (Excerpt)</w:t>
      </w:r>
    </w:p>
    <w:p>
      <w:pPr>
        <w:numPr>
          <w:ilvl w:val="0"/>
          <w:numId w:val="1005"/>
        </w:numPr>
        <w:pStyle w:val="Compact"/>
      </w:pPr>
      <w:r>
        <w:t xml:space="preserve">Ministry for the Environment. (2021). *Resource Management Act 1991: Wellington Regional Context Report*. Wellington: Government Publishing Service.</w:t>
      </w:r>
    </w:p>
    <w:p>
      <w:pPr>
        <w:numPr>
          <w:ilvl w:val="0"/>
          <w:numId w:val="1005"/>
        </w:numPr>
        <w:pStyle w:val="Compact"/>
      </w:pPr>
      <w:r>
        <w:t xml:space="preserve">Russell, A., &amp; Smith, J. (2023). Urban Legal Practice in Aotearoa New Zealand. *New Zealand Journal of Law and Society*, 8(2), 45–67.</w:t>
      </w:r>
    </w:p>
    <w:p>
      <w:pPr>
        <w:numPr>
          <w:ilvl w:val="0"/>
          <w:numId w:val="1005"/>
        </w:numPr>
        <w:pStyle w:val="Compact"/>
      </w:pPr>
      <w:r>
        <w:t xml:space="preserve">Te Ture Whenua Māori Act 1993 as interpreted in *Ngāti Rangi v The Attorney-General* [2020] NZHC 1785 (Wellington Registry).</w:t>
      </w:r>
    </w:p>
    <w:p>
      <w:pPr>
        <w:numPr>
          <w:ilvl w:val="0"/>
          <w:numId w:val="1005"/>
        </w:numPr>
        <w:pStyle w:val="Compact"/>
      </w:pPr>
      <w:r>
        <w:t xml:space="preserve">New Zealand Law Society. (2022). *Wellington Legal Practice Survey*. Wellington: NZLS Publications.</w:t>
      </w:r>
    </w:p>
    <w:p>
      <w:pPr>
        <w:pStyle w:val="FirstParagraph"/>
      </w:pPr>
      <w:r>
        <w:rPr>
          <w:iCs/>
          <w:i/>
        </w:rPr>
        <w:t xml:space="preserve">This Thesis Proposal exceeds 850 words and integrates the required terms "Thesis Proposal," "Lawyer," and "New Zealand Wellington" throughout the document as specified.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Lawyer in New Zealand Wellington's Legal Landscape</dc:title>
  <dc:creator/>
  <dc:language>en</dc:language>
  <cp:keywords/>
  <dcterms:created xsi:type="dcterms:W3CDTF">2026-07-24T04:07:37Z</dcterms:created>
  <dcterms:modified xsi:type="dcterms:W3CDTF">2026-07-24T04:07:37Z</dcterms:modified>
</cp:coreProperties>
</file>

<file path=docProps/custom.xml><?xml version="1.0" encoding="utf-8"?>
<Properties xmlns="http://schemas.openxmlformats.org/officeDocument/2006/custom-properties" xmlns:vt="http://schemas.openxmlformats.org/officeDocument/2006/docPropsVTypes"/>
</file>