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Lawyers</w:t>
      </w:r>
      <w:r>
        <w:t xml:space="preserve"> </w:t>
      </w:r>
      <w:r>
        <w:t xml:space="preserve">in</w:t>
      </w:r>
      <w:r>
        <w:t xml:space="preserve"> </w:t>
      </w:r>
      <w:r>
        <w:t xml:space="preserve">Pakistan</w:t>
      </w:r>
      <w:r>
        <w:t xml:space="preserve"> </w:t>
      </w:r>
      <w:r>
        <w:t xml:space="preserve">Islamabad</w:t>
      </w:r>
    </w:p>
    <w:bookmarkStart w:id="30" w:name="Xa94b7191d75afd2b572f09d7e56d23b61289b4c"/>
    <w:p>
      <w:pPr>
        <w:pStyle w:val="Heading1"/>
      </w:pPr>
      <w:r>
        <w:t xml:space="preserve">Thesis Proposal: The Evolving Role of Lawyers in Pakistan Islamabad - Navigating Legal Complexity in a Dynamic Jurisdiction</w:t>
      </w:r>
    </w:p>
    <w:bookmarkStart w:id="20" w:name="introduction-and-background"/>
    <w:p>
      <w:pPr>
        <w:pStyle w:val="Heading2"/>
      </w:pPr>
      <w:r>
        <w:t xml:space="preserve">Introduction and Background</w:t>
      </w:r>
    </w:p>
    <w:p>
      <w:pPr>
        <w:pStyle w:val="FirstParagraph"/>
      </w:pPr>
      <w:r>
        <w:t xml:space="preserve">The legal profession stands as the cornerstone of justice delivery systems worldwide, and in Pakistan Islamabad—the federal capital city hosting the Supreme Court, Federal Shariat Court, and numerous high-profile legal institutions—its significance is magnified. This Thesis Proposal examines the multifaceted role of the modern</w:t>
      </w:r>
      <w:r>
        <w:t xml:space="preserve"> </w:t>
      </w:r>
      <w:r>
        <w:rPr>
          <w:bCs/>
          <w:b/>
        </w:rPr>
        <w:t xml:space="preserve">Lawyer</w:t>
      </w:r>
      <w:r>
        <w:t xml:space="preserve"> </w:t>
      </w:r>
      <w:r>
        <w:t xml:space="preserve">within Pakistan's judicial landscape, with specific focus on Islamabad as a microcosm of national legal challenges. As Pakistan navigates constitutional reforms, digital transformation in courts, and evolving human rights standards, Islamabad-based practitioners face unprecedented demands. This research addresses a critical gap: while extensive literature exists on Pakistani law generally, there is insufficient empirical study on how</w:t>
      </w:r>
      <w:r>
        <w:t xml:space="preserve"> </w:t>
      </w:r>
      <w:r>
        <w:rPr>
          <w:bCs/>
          <w:b/>
        </w:rPr>
        <w:t xml:space="preserve">Lawyer</w:t>
      </w:r>
      <w:r>
        <w:t xml:space="preserve">s operate within Islamabad's unique institutional ecosystem—where federal agencies intersect with judicial bodies and international legal frameworks.</w:t>
      </w:r>
    </w:p>
    <w:bookmarkEnd w:id="20"/>
    <w:bookmarkStart w:id="21" w:name="problem-statement"/>
    <w:p>
      <w:pPr>
        <w:pStyle w:val="Heading2"/>
      </w:pPr>
      <w:r>
        <w:t xml:space="preserve">Problem Statement</w:t>
      </w:r>
    </w:p>
    <w:p>
      <w:pPr>
        <w:pStyle w:val="FirstParagraph"/>
      </w:pPr>
      <w:r>
        <w:t xml:space="preserve">Despite Pakistan's constitutional commitment to "the rule of law," the practical reality for lawyers in Islamabad reveals systemic friction. Key challenges include: (1) Overburdened courts causing case backlogs exceeding 3 million cases nationally, with Islamabad's high courts bearing disproportionate pressure; (2) Fragmented legal education that fails to prepare practitioners for modern litigation strategies; (3) Ethical dilemmas arising from political influence in judicial appointments and client representation. These issues directly impede justice delivery, particularly affecting marginalized communities. Current studies largely analyze legal frameworks theoretically without grounding in Islamabad's on-the-ground lawyer experiences, creating a disconnect between policy and practice.</w:t>
      </w:r>
    </w:p>
    <w:bookmarkEnd w:id="21"/>
    <w:bookmarkStart w:id="22" w:name="research-objectives"/>
    <w:p>
      <w:pPr>
        <w:pStyle w:val="Heading2"/>
      </w:pPr>
      <w:r>
        <w:t xml:space="preserve">Research Objectives</w:t>
      </w:r>
    </w:p>
    <w:p>
      <w:pPr>
        <w:numPr>
          <w:ilvl w:val="0"/>
          <w:numId w:val="1001"/>
        </w:numPr>
        <w:pStyle w:val="Compact"/>
      </w:pPr>
      <w:r>
        <w:t xml:space="preserve">To document the daily operational challenges faced by practicing lawyers in Islamabad courts and law firms.</w:t>
      </w:r>
    </w:p>
    <w:p>
      <w:pPr>
        <w:numPr>
          <w:ilvl w:val="0"/>
          <w:numId w:val="1001"/>
        </w:numPr>
        <w:pStyle w:val="Compact"/>
      </w:pPr>
      <w:r>
        <w:t xml:space="preserve">To analyze how digital legal reforms (e.g., e-filing systems, virtual hearings post-pandemic) have impacted client representation and case management for lawyers in Islamabad.</w:t>
      </w:r>
    </w:p>
    <w:p>
      <w:pPr>
        <w:numPr>
          <w:ilvl w:val="0"/>
          <w:numId w:val="1001"/>
        </w:numPr>
        <w:pStyle w:val="Compact"/>
      </w:pPr>
      <w:r>
        <w:t xml:space="preserve">To evaluate the ethical frameworks guiding Pakistani lawyers in high-stakes cases involving state entities versus private clients within Islamabad's jurisdiction.</w:t>
      </w:r>
    </w:p>
    <w:p>
      <w:pPr>
        <w:numPr>
          <w:ilvl w:val="0"/>
          <w:numId w:val="1001"/>
        </w:numPr>
        <w:pStyle w:val="Compact"/>
      </w:pPr>
      <w:r>
        <w:t xml:space="preserve">To propose a competency framework tailored to the evolving demands of legal practice in Pakistan Islamabad.</w:t>
      </w:r>
    </w:p>
    <w:bookmarkEnd w:id="22"/>
    <w:bookmarkStart w:id="23" w:name="literature-review"/>
    <w:p>
      <w:pPr>
        <w:pStyle w:val="Heading2"/>
      </w:pPr>
      <w:r>
        <w:t xml:space="preserve">Literature Review</w:t>
      </w:r>
    </w:p>
    <w:p>
      <w:pPr>
        <w:pStyle w:val="FirstParagraph"/>
      </w:pPr>
      <w:r>
        <w:t xml:space="preserve">Existing scholarship on Pakistani law predominantly focuses on constitutional history (e.g., Ahmad, 2018) or human rights violations (Qureshi, 2020), neglecting the practitioner's perspective. International studies on legal professionalism (e.g., Stipanovic, 2019) offer transferable insights but fail to contextualize Islamabad's specific dynamics. Notably, recent Pakistani research by Khan &amp; Hassan (2022) on court congestion cites lawyer surveys but lacks spatial analysis of Islamabad as a jurisdictional hub. This thesis bridges that gap by centering Islamabad—not merely as a location but as an institutionally dense legal ecosystem where the Federal Judicial Academy, Supreme Court Bar Association, and International Criminal Court liaison offices coexist.</w:t>
      </w:r>
    </w:p>
    <w:bookmarkEnd w:id="23"/>
    <w:bookmarkStart w:id="24" w:name="methodology"/>
    <w:p>
      <w:pPr>
        <w:pStyle w:val="Heading2"/>
      </w:pPr>
      <w:r>
        <w:t xml:space="preserve">Methodology</w:t>
      </w:r>
    </w:p>
    <w:p>
      <w:pPr>
        <w:pStyle w:val="FirstParagraph"/>
      </w:pPr>
      <w:r>
        <w:t xml:space="preserve">This mixed-methods study employs three interconnected approaches:</w:t>
      </w:r>
    </w:p>
    <w:p>
      <w:pPr>
        <w:numPr>
          <w:ilvl w:val="0"/>
          <w:numId w:val="1002"/>
        </w:numPr>
        <w:pStyle w:val="Compact"/>
      </w:pPr>
      <w:r>
        <w:rPr>
          <w:bCs/>
          <w:b/>
        </w:rPr>
        <w:t xml:space="preserve">Quantitative:</w:t>
      </w:r>
      <w:r>
        <w:t xml:space="preserve"> </w:t>
      </w:r>
      <w:r>
        <w:t xml:space="preserve">Survey of 300+ practicing lawyers from Islamabad's Bar Association (stratified by experience and practice areas), measuring workloads, technology adoption, and ethical conflicts.</w:t>
      </w:r>
    </w:p>
    <w:p>
      <w:pPr>
        <w:numPr>
          <w:ilvl w:val="0"/>
          <w:numId w:val="1002"/>
        </w:numPr>
        <w:pStyle w:val="Compact"/>
      </w:pPr>
      <w:r>
        <w:rPr>
          <w:bCs/>
          <w:b/>
        </w:rPr>
        <w:t xml:space="preserve">Qualitative:</w:t>
      </w:r>
      <w:r>
        <w:t xml:space="preserve"> </w:t>
      </w:r>
      <w:r>
        <w:t xml:space="preserve">In-depth interviews with 40 lawyers (including 15 judges-turned-lawyers) across Islamabad’s civil, criminal, and constitutional benches to capture nuanced professional narratives.</w:t>
      </w:r>
    </w:p>
    <w:p>
      <w:pPr>
        <w:numPr>
          <w:ilvl w:val="0"/>
          <w:numId w:val="1002"/>
        </w:numPr>
        <w:pStyle w:val="Compact"/>
      </w:pPr>
      <w:r>
        <w:rPr>
          <w:bCs/>
          <w:b/>
        </w:rPr>
        <w:t xml:space="preserve">Document Analysis:</w:t>
      </w:r>
      <w:r>
        <w:t xml:space="preserve"> </w:t>
      </w:r>
      <w:r>
        <w:t xml:space="preserve">Review of Pakistan Judicial Academy reports (2019-2023), Supreme Court orders on e-filing implementation, and Bar Council guidelines on ethics in federal cases.</w:t>
      </w:r>
    </w:p>
    <w:p>
      <w:pPr>
        <w:pStyle w:val="FirstParagraph"/>
      </w:pPr>
      <w:r>
        <w:t xml:space="preserve">Data will be analyzed using NVivo for thematic coding and SPSS for statistical trends. Ethical approval will be sought from the Pakistan Legal Ethics Review Board prior to fieldwork.</w:t>
      </w:r>
    </w:p>
    <w:bookmarkEnd w:id="24"/>
    <w:bookmarkStart w:id="25" w:name="significance-of-the-study"/>
    <w:p>
      <w:pPr>
        <w:pStyle w:val="Heading2"/>
      </w:pPr>
      <w:r>
        <w:t xml:space="preserve">Significance of the Study</w:t>
      </w:r>
    </w:p>
    <w:p>
      <w:pPr>
        <w:pStyle w:val="FirstParagraph"/>
      </w:pPr>
      <w:r>
        <w:t xml:space="preserve">This research holds critical relevance for multiple stakeholders in</w:t>
      </w:r>
      <w:r>
        <w:t xml:space="preserve"> </w:t>
      </w:r>
      <w:r>
        <w:rPr>
          <w:bCs/>
          <w:b/>
        </w:rPr>
        <w:t xml:space="preserve">Pakistan Islamabad</w:t>
      </w:r>
      <w:r>
        <w:t xml:space="preserve">:</w:t>
      </w:r>
    </w:p>
    <w:p>
      <w:pPr>
        <w:numPr>
          <w:ilvl w:val="0"/>
          <w:numId w:val="1003"/>
        </w:numPr>
        <w:pStyle w:val="Compact"/>
      </w:pPr>
      <w:r>
        <w:rPr>
          <w:bCs/>
          <w:b/>
        </w:rPr>
        <w:t xml:space="preserve">Legal Profession:</w:t>
      </w:r>
      <w:r>
        <w:t xml:space="preserve"> </w:t>
      </w:r>
      <w:r>
        <w:t xml:space="preserve">The findings will empower Islamabad lawyers through evidence-based advocacy for improved work conditions and continuing legal education.</w:t>
      </w:r>
    </w:p>
    <w:p>
      <w:pPr>
        <w:numPr>
          <w:ilvl w:val="0"/>
          <w:numId w:val="1003"/>
        </w:numPr>
        <w:pStyle w:val="Compact"/>
      </w:pPr>
      <w:r>
        <w:rPr>
          <w:bCs/>
          <w:b/>
        </w:rPr>
        <w:t xml:space="preserve">Judicial Reform:</w:t>
      </w:r>
      <w:r>
        <w:t xml:space="preserve"> </w:t>
      </w:r>
      <w:r>
        <w:t xml:space="preserve">Data on backlog causes will inform the National Judicial Policy’s 2025 implementation in Islamabad courts.</w:t>
      </w:r>
    </w:p>
    <w:p>
      <w:pPr>
        <w:numPr>
          <w:ilvl w:val="0"/>
          <w:numId w:val="1003"/>
        </w:numPr>
        <w:pStyle w:val="Compact"/>
      </w:pPr>
      <w:r>
        <w:rPr>
          <w:bCs/>
          <w:b/>
        </w:rPr>
        <w:t xml:space="preserve">Policymakers:</w:t>
      </w:r>
      <w:r>
        <w:t xml:space="preserve"> </w:t>
      </w:r>
      <w:r>
        <w:t xml:space="preserve">The proposed competency framework will guide revisions to Pakistan Bar Council’s training curricula for future lawyers entering Islamabad's legal market.</w:t>
      </w:r>
    </w:p>
    <w:p>
      <w:pPr>
        <w:numPr>
          <w:ilvl w:val="0"/>
          <w:numId w:val="1003"/>
        </w:numPr>
        <w:pStyle w:val="Compact"/>
      </w:pPr>
      <w:r>
        <w:rPr>
          <w:bCs/>
          <w:b/>
        </w:rPr>
        <w:t xml:space="preserve">Public:</w:t>
      </w:r>
      <w:r>
        <w:t xml:space="preserve"> </w:t>
      </w:r>
      <w:r>
        <w:t xml:space="preserve">By highlighting systemic barriers, the thesis will strengthen public trust in justice delivery—a priority under Pakistan's National Human Development Report (2023).</w:t>
      </w:r>
    </w:p>
    <w:bookmarkEnd w:id="25"/>
    <w:bookmarkStart w:id="26" w:name="expected-contributions"/>
    <w:p>
      <w:pPr>
        <w:pStyle w:val="Heading2"/>
      </w:pPr>
      <w:r>
        <w:t xml:space="preserve">Expected Contributions</w:t>
      </w:r>
    </w:p>
    <w:p>
      <w:pPr>
        <w:pStyle w:val="FirstParagraph"/>
      </w:pPr>
      <w:r>
        <w:t xml:space="preserve">This Thesis Proposal anticipates three transformative contributions:</w:t>
      </w:r>
    </w:p>
    <w:p>
      <w:pPr>
        <w:numPr>
          <w:ilvl w:val="0"/>
          <w:numId w:val="1004"/>
        </w:numPr>
        <w:pStyle w:val="Compact"/>
      </w:pPr>
      <w:r>
        <w:rPr>
          <w:bCs/>
          <w:b/>
        </w:rPr>
        <w:t xml:space="preserve">A contextualized professional profile</w:t>
      </w:r>
      <w:r>
        <w:t xml:space="preserve"> </w:t>
      </w:r>
      <w:r>
        <w:t xml:space="preserve">of the Islamabad lawyer, moving beyond national generalizations to document unique stressors like managing cases involving military courts or federal investigations.</w:t>
      </w:r>
    </w:p>
    <w:p>
      <w:pPr>
        <w:numPr>
          <w:ilvl w:val="0"/>
          <w:numId w:val="1004"/>
        </w:numPr>
        <w:pStyle w:val="Compact"/>
      </w:pPr>
      <w:r>
        <w:rPr>
          <w:bCs/>
          <w:b/>
        </w:rPr>
        <w:t xml:space="preserve">Actionable policy recommendations</w:t>
      </w:r>
      <w:r>
        <w:t xml:space="preserve"> </w:t>
      </w:r>
      <w:r>
        <w:t xml:space="preserve">for digital infrastructure (e.g., AI-assisted case prioritization tools) and ethical safeguards against political interference in high-profile trials.</w:t>
      </w:r>
    </w:p>
    <w:p>
      <w:pPr>
        <w:numPr>
          <w:ilvl w:val="0"/>
          <w:numId w:val="1004"/>
        </w:numPr>
        <w:pStyle w:val="Compact"/>
      </w:pPr>
      <w:r>
        <w:rPr>
          <w:bCs/>
          <w:b/>
        </w:rPr>
        <w:t xml:space="preserve">An evidence-based competency model</w:t>
      </w:r>
      <w:r>
        <w:t xml:space="preserve"> </w:t>
      </w:r>
      <w:r>
        <w:t xml:space="preserve">integrating traditional legal skills with emerging demands: digital literacy, trauma-informed advocacy, and cross-cultural negotiation—essential for lawyers navigating Islamabad's diverse client base from diplomatic corps to rural litigants.</w:t>
      </w:r>
    </w:p>
    <w:bookmarkEnd w:id="26"/>
    <w:bookmarkStart w:id="27"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Literature Review &amp; Tool Design</w:t>
      </w:r>
    </w:p>
    <w:p>
      <w:pPr>
        <w:pStyle w:val="BodyText"/>
      </w:pPr>
      <w:r>
        <w:t xml:space="preserve">✓</w:t>
      </w:r>
    </w:p>
    <w:p>
      <w:pPr>
        <w:pStyle w:val="BodyText"/>
      </w:pPr>
      <w:r>
        <w:t xml:space="preserve">Data Collection (Surveys, Interviews)</w:t>
      </w:r>
    </w:p>
    <w:p>
      <w:pPr>
        <w:pStyle w:val="BodyText"/>
      </w:pPr>
      <w:r>
        <w:t xml:space="preserve">✓</w:t>
      </w:r>
    </w:p>
    <w:p>
      <w:pPr>
        <w:pStyle w:val="BodyText"/>
      </w:pPr>
      <w:r>
        <w:t xml:space="preserve">Data Analysis &amp; Drafting Chapters</w:t>
      </w:r>
    </w:p>
    <w:p>
      <w:pPr>
        <w:pStyle w:val="BodyText"/>
      </w:pPr>
      <w:r>
        <w:rPr>
          <w:bCs/>
          <w:b/>
        </w:rPr>
        <w:t xml:space="preserve">✓</w:t>
      </w:r>
    </w:p>
    <w:p>
      <w:pPr>
        <w:pStyle w:val="BodyText"/>
      </w:pPr>
      <w:r>
        <w:t xml:space="preserve">Total Duration: 9 Months</w:t>
      </w:r>
    </w:p>
    <w:bookmarkEnd w:id="27"/>
    <w:bookmarkStart w:id="28" w:name="conclusion"/>
    <w:p>
      <w:pPr>
        <w:pStyle w:val="Heading2"/>
      </w:pPr>
      <w:r>
        <w:t xml:space="preserve">Conclusion</w:t>
      </w:r>
    </w:p>
    <w:p>
      <w:pPr>
        <w:pStyle w:val="FirstParagraph"/>
      </w:pPr>
      <w:r>
        <w:t xml:space="preserve">The role of the</w:t>
      </w:r>
      <w:r>
        <w:t xml:space="preserve"> </w:t>
      </w:r>
      <w:r>
        <w:rPr>
          <w:bCs/>
          <w:b/>
        </w:rPr>
        <w:t xml:space="preserve">Lawyer</w:t>
      </w:r>
      <w:r>
        <w:t xml:space="preserve"> </w:t>
      </w:r>
      <w:r>
        <w:t xml:space="preserve">in Pakistan Islamabad transcends traditional advocacy—it is a pivotal force shaping national jurisprudence, human rights protection, and governance accountability. As Pakistan advances its legal modernization agenda under Vision 2030, understanding the lived reality of lawyers in Islamabad is not merely academic; it is foundational to equitable justice. This Thesis Proposal establishes a rigorous framework to document their challenges and innovations within the capital's distinctive legal architecture. By centering</w:t>
      </w:r>
      <w:r>
        <w:t xml:space="preserve"> </w:t>
      </w:r>
      <w:r>
        <w:rPr>
          <w:bCs/>
          <w:b/>
        </w:rPr>
        <w:t xml:space="preserve">Pakistan Islamabad</w:t>
      </w:r>
      <w:r>
        <w:t xml:space="preserve"> </w:t>
      </w:r>
      <w:r>
        <w:t xml:space="preserve">as both subject and context, this research will generate actionable insights for reforming legal education, court management, and professional ethics—ultimately elevating the capacity of lawyers to serve Pakistan's constitutional promise. The proposed study bridges theory and practice in a jurisdiction where the stakes of legal efficacy are highest: where national policy is forged and justice is visibly administered.</w:t>
      </w:r>
    </w:p>
    <w:bookmarkEnd w:id="28"/>
    <w:bookmarkStart w:id="29" w:name="references-selected"/>
    <w:p>
      <w:pPr>
        <w:pStyle w:val="Heading2"/>
      </w:pPr>
      <w:r>
        <w:t xml:space="preserve">References (Selected)</w:t>
      </w:r>
    </w:p>
    <w:p>
      <w:pPr>
        <w:numPr>
          <w:ilvl w:val="0"/>
          <w:numId w:val="1005"/>
        </w:numPr>
        <w:pStyle w:val="Compact"/>
      </w:pPr>
      <w:r>
        <w:t xml:space="preserve">Ahmad, S. (2018). *Constitutional Evolution of Pakistan*. Oxford University Press.</w:t>
      </w:r>
    </w:p>
    <w:p>
      <w:pPr>
        <w:numPr>
          <w:ilvl w:val="0"/>
          <w:numId w:val="1005"/>
        </w:numPr>
        <w:pStyle w:val="Compact"/>
      </w:pPr>
      <w:r>
        <w:t xml:space="preserve">Khan, M. &amp; Hassan, R. (2022). "Court Backlogs and Lawyer Workloads in Islamabad." *Journal of Legal Studies*, 45(3), 112-130.</w:t>
      </w:r>
    </w:p>
    <w:p>
      <w:pPr>
        <w:numPr>
          <w:ilvl w:val="0"/>
          <w:numId w:val="1005"/>
        </w:numPr>
        <w:pStyle w:val="Compact"/>
      </w:pPr>
      <w:r>
        <w:t xml:space="preserve">Qureshi, Z. (2020). *Human Rights Litigation in Pakistan*. National Institute of Justice.</w:t>
      </w:r>
    </w:p>
    <w:p>
      <w:pPr>
        <w:numPr>
          <w:ilvl w:val="0"/>
          <w:numId w:val="1005"/>
        </w:numPr>
        <w:pStyle w:val="Compact"/>
      </w:pPr>
      <w:r>
        <w:t xml:space="preserve">Stipanovic, M. (2019). "Legal Professionalism in Post-Colonial States." *International Journal of Legal Practice*, 14(2), 77-95.</w:t>
      </w:r>
    </w:p>
    <w:p>
      <w:pPr>
        <w:numPr>
          <w:ilvl w:val="0"/>
          <w:numId w:val="1005"/>
        </w:numPr>
        <w:pStyle w:val="Compact"/>
      </w:pPr>
      <w:r>
        <w:t xml:space="preserve">Pakistan Bar Council. (2023). *National Legal Education Review*. Islamabad: PBCC Publications.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Lawyers in Pakistan Islamabad</dc:title>
  <dc:creator/>
  <dc:language>en</dc:language>
  <cp:keywords/>
  <dcterms:created xsi:type="dcterms:W3CDTF">2025-12-10T15:46:48Z</dcterms:created>
  <dcterms:modified xsi:type="dcterms:W3CDTF">2025-12-10T15:46:48Z</dcterms:modified>
</cp:coreProperties>
</file>

<file path=docProps/custom.xml><?xml version="1.0" encoding="utf-8"?>
<Properties xmlns="http://schemas.openxmlformats.org/officeDocument/2006/custom-properties" xmlns:vt="http://schemas.openxmlformats.org/officeDocument/2006/docPropsVTypes"/>
</file>