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Russia</w:t>
      </w:r>
      <w:r>
        <w:t xml:space="preserve"> </w:t>
      </w:r>
      <w:r>
        <w:t xml:space="preserve">Moscow</w:t>
      </w:r>
    </w:p>
    <w:bookmarkStart w:id="29" w:name="X84a0a34458c8598fa75a2f542420b5bfac41967"/>
    <w:p>
      <w:pPr>
        <w:pStyle w:val="Heading1"/>
      </w:pPr>
      <w:r>
        <w:t xml:space="preserve">Thesis Proposal: The Evolving Role of the Lawyer in Contemporary Russia Moscow</w:t>
      </w:r>
    </w:p>
    <w:bookmarkStart w:id="20" w:name="introduction"/>
    <w:p>
      <w:pPr>
        <w:pStyle w:val="Heading2"/>
      </w:pPr>
      <w:r>
        <w:t xml:space="preserve">1. Introduction</w:t>
      </w:r>
    </w:p>
    <w:p>
      <w:pPr>
        <w:pStyle w:val="FirstParagraph"/>
      </w:pPr>
      <w:r>
        <w:t xml:space="preserve">The legal profession in Russia represents a critical institution within the nation's governance framework, with Moscow serving as the epicenter of judicial activity and legal innovation. This Thesis Proposal examines the multifaceted role of the Lawyer in modern Russia Moscow, analyzing how evolving legislation, geopolitical dynamics, and socio-economic transformations are reshaping professional practice. As Russia navigates complex domestic reforms alongside international tensions since 2014, the Lawyer's function has expanded beyond traditional courtroom advocacy to encompass strategic counsel in economic sanctions compliance, cross-border litigation management, and navigating intricate regulatory ecosystems. This research addresses a significant gap in understanding how Moscow-based legal practitioners adapt to unprecedented pressures while maintaining ethical standards within Russia's unique legal culture.</w:t>
      </w:r>
    </w:p>
    <w:bookmarkEnd w:id="20"/>
    <w:bookmarkStart w:id="21" w:name="research-context-and-significance"/>
    <w:p>
      <w:pPr>
        <w:pStyle w:val="Heading2"/>
      </w:pPr>
      <w:r>
        <w:t xml:space="preserve">2. Research Context and Significance</w:t>
      </w:r>
    </w:p>
    <w:p>
      <w:pPr>
        <w:pStyle w:val="FirstParagraph"/>
      </w:pPr>
      <w:r>
        <w:t xml:space="preserve">The Russian Federation's adoption of the 2015 Federal Law "On Advocacy" established formalized pathways for the Lawyer profession, yet Moscow's legal landscape remains distinct from other regions due to its concentration of federal courts, major corporations, and international arbitration centers. Post-2022 geopolitical shifts have intensified scrutiny on foreign law firms operating in Russia Moscow while simultaneously creating demand for local expertise in sanction-evasion strategies and asset protection. This Thesis Proposal argues that current academic literature inadequately captures the Lawyer's adaptive strategies within Moscow's high-stakes environment, where professional identity intersects with state policy, economic volatility, and ethical dilemmas. Understanding these dynamics is paramount for legal education reform, international business strategy in Russia Moscow, and comparative jurisprudence studies of civil law systems under political stress.</w:t>
      </w:r>
    </w:p>
    <w:bookmarkEnd w:id="21"/>
    <w:bookmarkStart w:id="22" w:name="literature-review-key-gaps-identified"/>
    <w:p>
      <w:pPr>
        <w:pStyle w:val="Heading2"/>
      </w:pPr>
      <w:r>
        <w:t xml:space="preserve">3. Literature Review (Key Gaps Identified)</w:t>
      </w:r>
    </w:p>
    <w:p>
      <w:pPr>
        <w:pStyle w:val="FirstParagraph"/>
      </w:pPr>
      <w:r>
        <w:t xml:space="preserve">Existing scholarship on Russian legal practice predominantly focuses on:</w:t>
      </w:r>
    </w:p>
    <w:p>
      <w:pPr>
        <w:numPr>
          <w:ilvl w:val="0"/>
          <w:numId w:val="1001"/>
        </w:numPr>
        <w:pStyle w:val="Compact"/>
      </w:pPr>
      <w:r>
        <w:t xml:space="preserve">Historical analysis of Soviet-era legal structures (e.g., Ponomarev, 2017)</w:t>
      </w:r>
    </w:p>
    <w:p>
      <w:pPr>
        <w:numPr>
          <w:ilvl w:val="0"/>
          <w:numId w:val="1001"/>
        </w:numPr>
        <w:pStyle w:val="Compact"/>
      </w:pPr>
      <w:r>
        <w:t xml:space="preserve">Comparative studies of civil vs. common law systems (Kovalev, 2019)</w:t>
      </w:r>
    </w:p>
    <w:p>
      <w:pPr>
        <w:numPr>
          <w:ilvl w:val="0"/>
          <w:numId w:val="1001"/>
        </w:numPr>
        <w:pStyle w:val="Compact"/>
      </w:pPr>
      <w:r>
        <w:t xml:space="preserve">Macro-level policy assessments of judicial reform (Borodin, 2021)</w:t>
      </w:r>
    </w:p>
    <w:p>
      <w:pPr>
        <w:pStyle w:val="FirstParagraph"/>
      </w:pPr>
      <w:r>
        <w:t xml:space="preserve">However, no contemporary research explores the Lawyer's day-to-day operational challenges in Moscow post-2020. Critical gaps include:</w:t>
      </w:r>
    </w:p>
    <w:p>
      <w:pPr>
        <w:numPr>
          <w:ilvl w:val="0"/>
          <w:numId w:val="1002"/>
        </w:numPr>
        <w:pStyle w:val="Compact"/>
      </w:pPr>
      <w:r>
        <w:t xml:space="preserve">The impact of sanctions on legal service delivery models in Russia Moscow</w:t>
      </w:r>
    </w:p>
    <w:p>
      <w:pPr>
        <w:numPr>
          <w:ilvl w:val="0"/>
          <w:numId w:val="1002"/>
        </w:numPr>
        <w:pStyle w:val="Compact"/>
      </w:pPr>
      <w:r>
        <w:t xml:space="preserve">Psychological stressors affecting Lawyer decision-making during political crises</w:t>
      </w:r>
    </w:p>
    <w:p>
      <w:pPr>
        <w:numPr>
          <w:ilvl w:val="0"/>
          <w:numId w:val="1002"/>
        </w:numPr>
        <w:pStyle w:val="Compact"/>
      </w:pPr>
      <w:r>
        <w:t xml:space="preserve">Generational shifts in professional values among young lawyers entering Moscow's market</w:t>
      </w:r>
    </w:p>
    <w:p>
      <w:pPr>
        <w:pStyle w:val="FirstParagraph"/>
      </w:pPr>
      <w:r>
        <w:t xml:space="preserve">This Thesis Proposal directly addresses these lacunae through fieldwork-based analysis.</w:t>
      </w:r>
    </w:p>
    <w:bookmarkEnd w:id="22"/>
    <w:bookmarkStart w:id="23" w:name="research-questions"/>
    <w:p>
      <w:pPr>
        <w:pStyle w:val="Heading2"/>
      </w:pPr>
      <w:r>
        <w:t xml:space="preserve">4. Research Questions</w:t>
      </w:r>
    </w:p>
    <w:p>
      <w:pPr>
        <w:pStyle w:val="FirstParagraph"/>
      </w:pPr>
      <w:r>
        <w:t xml:space="preserve">This study will investigate three interrelated questions:</w:t>
      </w:r>
    </w:p>
    <w:p>
      <w:pPr>
        <w:numPr>
          <w:ilvl w:val="0"/>
          <w:numId w:val="1003"/>
        </w:numPr>
        <w:pStyle w:val="Compact"/>
      </w:pPr>
      <w:r>
        <w:t xml:space="preserve">How do Lawyers in Moscow strategically reconfigure their service portfolios amid evolving economic sanctions and regulatory restrictions?</w:t>
      </w:r>
    </w:p>
    <w:p>
      <w:pPr>
        <w:numPr>
          <w:ilvl w:val="0"/>
          <w:numId w:val="1003"/>
        </w:numPr>
        <w:pStyle w:val="Compact"/>
      </w:pPr>
      <w:r>
        <w:t xml:space="preserve">To what extent does geopolitical instability influence ethical decision-making frameworks for the Lawyer within Russia's judicial system?</w:t>
      </w:r>
    </w:p>
    <w:p>
      <w:pPr>
        <w:numPr>
          <w:ilvl w:val="0"/>
          <w:numId w:val="1003"/>
        </w:numPr>
        <w:pStyle w:val="Compact"/>
      </w:pPr>
      <w:r>
        <w:t xml:space="preserve">What institutional adaptations are emerging among Moscow-based legal firms to retain talent and client trust during sustained international isolation?</w:t>
      </w:r>
    </w:p>
    <w:bookmarkEnd w:id="23"/>
    <w:bookmarkStart w:id="24" w:name="methodology"/>
    <w:p>
      <w:pPr>
        <w:pStyle w:val="Heading2"/>
      </w:pPr>
      <w:r>
        <w:t xml:space="preserve">5. Methodology</w:t>
      </w:r>
    </w:p>
    <w:p>
      <w:pPr>
        <w:pStyle w:val="FirstParagraph"/>
      </w:pPr>
      <w:r>
        <w:t xml:space="preserve">A mixed-methods approach will be employed, combining:</w:t>
      </w:r>
    </w:p>
    <w:p>
      <w:pPr>
        <w:numPr>
          <w:ilvl w:val="0"/>
          <w:numId w:val="1004"/>
        </w:numPr>
        <w:pStyle w:val="Compact"/>
      </w:pPr>
      <w:r>
        <w:rPr>
          <w:bCs/>
          <w:b/>
        </w:rPr>
        <w:t xml:space="preserve">Qualitative Component:</w:t>
      </w:r>
      <w:r>
        <w:t xml:space="preserve"> </w:t>
      </w:r>
      <w:r>
        <w:t xml:space="preserve">Semi-structured interviews with 40+ practicing Lawyers across Moscow-based firms (15 international, 15 domestic, 10 in-house counsel) using purposive sampling to ensure diversity of specialization and firm size.</w:t>
      </w:r>
    </w:p>
    <w:p>
      <w:pPr>
        <w:numPr>
          <w:ilvl w:val="0"/>
          <w:numId w:val="1004"/>
        </w:numPr>
        <w:pStyle w:val="Compact"/>
      </w:pPr>
      <w:r>
        <w:rPr>
          <w:bCs/>
          <w:b/>
        </w:rPr>
        <w:t xml:space="preserve">Quantitative Component:</w:t>
      </w:r>
      <w:r>
        <w:t xml:space="preserve"> </w:t>
      </w:r>
      <w:r>
        <w:t xml:space="preserve">Survey analysis of legal service demand patterns from Moscow chambers of commerce (2020-2023) tracking shifts in client needs related to asset protection, M&amp;A compliance, and dispute resolution methods.</w:t>
      </w:r>
    </w:p>
    <w:p>
      <w:pPr>
        <w:numPr>
          <w:ilvl w:val="0"/>
          <w:numId w:val="1004"/>
        </w:numPr>
        <w:pStyle w:val="Compact"/>
      </w:pPr>
      <w:r>
        <w:rPr>
          <w:bCs/>
          <w:b/>
        </w:rPr>
        <w:t xml:space="preserve">Document Analysis:</w:t>
      </w:r>
      <w:r>
        <w:t xml:space="preserve"> </w:t>
      </w:r>
      <w:r>
        <w:t xml:space="preserve">Comparative review of 15 key court rulings from Moscow City Court involving foreign legal entities since 2018 to identify evolving judicial interpretations affecting Lawyer strategies.</w:t>
      </w:r>
    </w:p>
    <w:p>
      <w:pPr>
        <w:pStyle w:val="FirstParagraph"/>
      </w:pPr>
      <w:r>
        <w:t xml:space="preserve">Ethical clearance will be obtained through the Moscow State University Research Ethics Board, with all participant data anonymized. Triangulation of these methods will ensure robust validation of findings regarding the Lawyer's operational reality in Russia Moscow.</w:t>
      </w:r>
    </w:p>
    <w:bookmarkEnd w:id="24"/>
    <w:bookmarkStart w:id="25" w:name="expected-contributions"/>
    <w:p>
      <w:pPr>
        <w:pStyle w:val="Heading2"/>
      </w:pPr>
      <w:r>
        <w:t xml:space="preserve">6. Expected Contributions</w:t>
      </w:r>
    </w:p>
    <w:p>
      <w:pPr>
        <w:pStyle w:val="FirstParagraph"/>
      </w:pPr>
      <w:r>
        <w:t xml:space="preserve">This Thesis Proposal promises four key contributions:</w:t>
      </w:r>
    </w:p>
    <w:p>
      <w:pPr>
        <w:numPr>
          <w:ilvl w:val="0"/>
          <w:numId w:val="1005"/>
        </w:numPr>
        <w:pStyle w:val="Compact"/>
      </w:pPr>
      <w:r>
        <w:rPr>
          <w:bCs/>
          <w:b/>
        </w:rPr>
        <w:t xml:space="preserve">Practical:</w:t>
      </w:r>
      <w:r>
        <w:t xml:space="preserve"> </w:t>
      </w:r>
      <w:r>
        <w:t xml:space="preserve">A strategic framework for Lawyers operating in Russia Moscow to navigate regulatory volatility, including a risk-assessment toolkit for sanction-affected transactions.</w:t>
      </w:r>
    </w:p>
    <w:p>
      <w:pPr>
        <w:numPr>
          <w:ilvl w:val="0"/>
          <w:numId w:val="1005"/>
        </w:numPr>
        <w:pStyle w:val="Compact"/>
      </w:pPr>
      <w:r>
        <w:rPr>
          <w:bCs/>
          <w:b/>
        </w:rPr>
        <w:t xml:space="preserve">Educational:</w:t>
      </w:r>
      <w:r>
        <w:t xml:space="preserve"> </w:t>
      </w:r>
      <w:r>
        <w:t xml:space="preserve">Curriculum recommendations for Russian law schools focusing on geopolitical literacy and adaptive legal strategy development.</w:t>
      </w:r>
    </w:p>
    <w:p>
      <w:pPr>
        <w:numPr>
          <w:ilvl w:val="0"/>
          <w:numId w:val="1005"/>
        </w:numPr>
        <w:pStyle w:val="Compact"/>
      </w:pPr>
      <w:r>
        <w:rPr>
          <w:bCs/>
          <w:b/>
        </w:rPr>
        <w:t xml:space="preserve">Theoretical:</w:t>
      </w:r>
      <w:r>
        <w:t xml:space="preserve"> </w:t>
      </w:r>
      <w:r>
        <w:t xml:space="preserve">A refined model of "adaptive professionalism" applicable to legal systems under political stress, extending beyond the Russia Moscow context.</w:t>
      </w:r>
    </w:p>
    <w:p>
      <w:pPr>
        <w:numPr>
          <w:ilvl w:val="0"/>
          <w:numId w:val="1005"/>
        </w:numPr>
        <w:pStyle w:val="Compact"/>
      </w:pPr>
      <w:r>
        <w:rPr>
          <w:bCs/>
          <w:b/>
        </w:rPr>
        <w:t xml:space="preserve">Policy-Relevant:</w:t>
      </w:r>
      <w:r>
        <w:t xml:space="preserve"> </w:t>
      </w:r>
      <w:r>
        <w:t xml:space="preserve">Evidence-based insights for Russian Ministry of Justice on supporting Lawyer resilience during economic crises, potentially informing future amendments to advocacy legislation.</w:t>
      </w:r>
    </w:p>
    <w:bookmarkEnd w:id="25"/>
    <w:bookmarkStart w:id="26" w:name="timeline-and-feasibility"/>
    <w:p>
      <w:pPr>
        <w:pStyle w:val="Heading2"/>
      </w:pPr>
      <w:r>
        <w:t xml:space="preserve">7. Timeline and Feasibility</w:t>
      </w:r>
    </w:p>
    <w:p>
      <w:pPr>
        <w:pStyle w:val="FirstParagraph"/>
      </w:pPr>
      <w:r>
        <w:t xml:space="preserve">The 14-month research timeline (starting January 2025) is designed for practical execution in Moscow:</w:t>
      </w:r>
    </w:p>
    <w:p>
      <w:pPr>
        <w:numPr>
          <w:ilvl w:val="0"/>
          <w:numId w:val="1006"/>
        </w:numPr>
        <w:pStyle w:val="Compact"/>
      </w:pPr>
      <w:r>
        <w:rPr>
          <w:bCs/>
          <w:b/>
        </w:rPr>
        <w:t xml:space="preserve">Months 1-3:</w:t>
      </w:r>
      <w:r>
        <w:t xml:space="preserve"> </w:t>
      </w:r>
      <w:r>
        <w:t xml:space="preserve">Finalize ethical approvals, develop interview protocols, establish partnership with Moscow Bar Association.</w:t>
      </w:r>
    </w:p>
    <w:p>
      <w:pPr>
        <w:numPr>
          <w:ilvl w:val="0"/>
          <w:numId w:val="1006"/>
        </w:numPr>
        <w:pStyle w:val="Compact"/>
      </w:pPr>
      <w:r>
        <w:rPr>
          <w:bCs/>
          <w:b/>
        </w:rPr>
        <w:t xml:space="preserve">Months 4-7:</w:t>
      </w:r>
      <w:r>
        <w:t xml:space="preserve"> </w:t>
      </w:r>
      <w:r>
        <w:t xml:space="preserve">Conduct interviews and survey deployment; initial thematic coding of qualitative data.</w:t>
      </w:r>
    </w:p>
    <w:p>
      <w:pPr>
        <w:numPr>
          <w:ilvl w:val="0"/>
          <w:numId w:val="1006"/>
        </w:numPr>
        <w:pStyle w:val="Compact"/>
      </w:pPr>
      <w:r>
        <w:rPr>
          <w:bCs/>
          <w:b/>
        </w:rPr>
        <w:t xml:space="preserve">Months 8-10:</w:t>
      </w:r>
      <w:r>
        <w:t xml:space="preserve"> </w:t>
      </w:r>
      <w:r>
        <w:t xml:space="preserve">Quantitative analysis of legal service demand trends; cross-methods validation workshops with legal practitioners.</w:t>
      </w:r>
    </w:p>
    <w:p>
      <w:pPr>
        <w:numPr>
          <w:ilvl w:val="0"/>
          <w:numId w:val="1006"/>
        </w:numPr>
        <w:pStyle w:val="Compact"/>
      </w:pPr>
      <w:r>
        <w:rPr>
          <w:bCs/>
          <w:b/>
        </w:rPr>
        <w:t xml:space="preserve">Months 11-14:</w:t>
      </w:r>
      <w:r>
        <w:t xml:space="preserve"> </w:t>
      </w:r>
      <w:r>
        <w:t xml:space="preserve">Draft thesis chapters, refine strategic recommendations, submit final Thesis Proposal for defense.</w:t>
      </w:r>
    </w:p>
    <w:p>
      <w:pPr>
        <w:pStyle w:val="FirstParagraph"/>
      </w:pPr>
      <w:r>
        <w:t xml:space="preserve">Feasibility is ensured through the researcher's existing professional network within Moscow's legal community and access to university research resources. All fieldwork will comply with Russian data protection laws (Federal Law No. 152-FZ).</w:t>
      </w:r>
    </w:p>
    <w:bookmarkEnd w:id="26"/>
    <w:bookmarkStart w:id="27" w:name="conclusion"/>
    <w:p>
      <w:pPr>
        <w:pStyle w:val="Heading2"/>
      </w:pPr>
      <w:r>
        <w:t xml:space="preserve">8. Conclusion</w:t>
      </w:r>
    </w:p>
    <w:p>
      <w:pPr>
        <w:pStyle w:val="FirstParagraph"/>
      </w:pPr>
      <w:r>
        <w:t xml:space="preserve">The Lawyer in Russia Moscow operates at a critical inflection point where professional identity, economic viability, and geopolitical reality converge. This Thesis Proposal establishes that conventional studies of the Russian legal system overlook the dynamic agency of Lawyers navigating contemporary pressures. By centering primary research on Moscow as both geographical locus and symbolic representation of Russia's legal evolution, this study will deliver actionable knowledge for practitioners while advancing global understanding of legal professionalism in politically volatile environments. The findings will not merely document current challenges but chart pathways for how the Lawyer can fulfill their constitutional mandate as a guardian of rights within Russia's complex socio-legal ecosystem. This research is indispensable for anyone seeking to comprehend the future trajectory of justice delivery in modern Russia, where Moscow remains the undeniable nerve center of legal innovation and adaptation.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Russia Moscow</dc:title>
  <dc:creator/>
  <dc:language>en</dc:language>
  <cp:keywords/>
  <dcterms:created xsi:type="dcterms:W3CDTF">2026-07-21T09:50:37Z</dcterms:created>
  <dcterms:modified xsi:type="dcterms:W3CDTF">2026-07-21T09:50:37Z</dcterms:modified>
</cp:coreProperties>
</file>

<file path=docProps/custom.xml><?xml version="1.0" encoding="utf-8"?>
<Properties xmlns="http://schemas.openxmlformats.org/officeDocument/2006/custom-properties" xmlns:vt="http://schemas.openxmlformats.org/officeDocument/2006/docPropsVTypes"/>
</file>