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7fdf54a7e36ee59dc29dbaabbee6d3650ddf40a"/>
    <w:p>
      <w:pPr>
        <w:pStyle w:val="Heading1"/>
      </w:pPr>
      <w:r>
        <w:t xml:space="preserve">Thesis Proposal: The Evolving Role of Lawyers in the Legal Landscape of Jeddah, Saudi Arabia</w:t>
      </w:r>
    </w:p>
    <w:bookmarkStart w:id="20" w:name="introduction"/>
    <w:p>
      <w:pPr>
        <w:pStyle w:val="Heading2"/>
      </w:pPr>
      <w:r>
        <w:t xml:space="preserve">Introduction</w:t>
      </w:r>
    </w:p>
    <w:p>
      <w:pPr>
        <w:pStyle w:val="FirstParagraph"/>
      </w:pPr>
      <w:r>
        <w:t xml:space="preserve">The Kingdom of Saudi Arabia is undergoing transformative legal and economic reforms under Vision 2030, positioning itself as a global hub for commerce and innovation. As one of the most dynamic cities in the kingdom, Jeddah—a major port city and economic gateway—experiences accelerated growth in commercial activity, foreign investment, and cross-border transactions. This rapid evolution necessitates a re-examination of the legal profession's role within Jeddah's unique socio-legal environment. The</w:t>
      </w:r>
      <w:r>
        <w:t xml:space="preserve"> </w:t>
      </w:r>
      <w:r>
        <w:rPr>
          <w:iCs/>
          <w:i/>
        </w:rPr>
        <w:t xml:space="preserve">Thesis Proposal</w:t>
      </w:r>
      <w:r>
        <w:t xml:space="preserve"> </w:t>
      </w:r>
      <w:r>
        <w:t xml:space="preserve">titled "</w:t>
      </w:r>
      <w:r>
        <w:rPr>
          <w:bCs/>
          <w:b/>
        </w:rPr>
        <w:t xml:space="preserve">The Evolving Role of Lawyers in Jeddah: Navigating Legal Transformation under Saudi Vision 2030</w:t>
      </w:r>
      <w:r>
        <w:t xml:space="preserve">" addresses critical gaps in understanding how</w:t>
      </w:r>
      <w:r>
        <w:t xml:space="preserve"> </w:t>
      </w:r>
      <w:r>
        <w:rPr>
          <w:iCs/>
          <w:i/>
        </w:rPr>
        <w:t xml:space="preserve">lawyers</w:t>
      </w:r>
      <w:r>
        <w:t xml:space="preserve"> </w:t>
      </w:r>
      <w:r>
        <w:t xml:space="preserve">adapt to these changes while serving clients amid cultural, religious, and regulatory complexities. This research will provide empirical insights into the professional trajectory of legal practitioners specifically within</w:t>
      </w:r>
      <w:r>
        <w:t xml:space="preserve"> </w:t>
      </w:r>
      <w:r>
        <w:rPr>
          <w:bCs/>
          <w:b/>
        </w:rPr>
        <w:t xml:space="preserve">Saudi Arabia Jeddah</w:t>
      </w:r>
      <w:r>
        <w:t xml:space="preserve">, contributing to national strategies for legal modernization.</w:t>
      </w:r>
    </w:p>
    <w:bookmarkEnd w:id="20"/>
    <w:bookmarkStart w:id="21" w:name="problem-statement"/>
    <w:p>
      <w:pPr>
        <w:pStyle w:val="Heading2"/>
      </w:pPr>
      <w:r>
        <w:t xml:space="preserve">Problem Statement</w:t>
      </w:r>
    </w:p>
    <w:p>
      <w:pPr>
        <w:pStyle w:val="FirstParagraph"/>
      </w:pPr>
      <w:r>
        <w:t xml:space="preserve">Despite significant legislative advancements—including the introduction of the Civil Transactions Law (2019), Commercial Courts, and enhanced dispute resolution mechanisms—Jeddah's legal sector faces unresolved challenges. Lawyers in Jeddah grapple with three core issues: (1) adapting traditional Islamic law interpretations to modern commercial frameworks; (2) bridging cultural expectations between local clients and international stakeholders; and (3) navigating fragmented regulatory oversight across newly established courts. Current academic literature disproportionately focuses on Riyadh or national policy, neglecting Jeddah's distinct maritime, tourism-driven economy and its status as a</w:t>
      </w:r>
      <w:r>
        <w:t xml:space="preserve"> </w:t>
      </w:r>
      <w:r>
        <w:rPr>
          <w:iCs/>
          <w:i/>
        </w:rPr>
        <w:t xml:space="preserve">gateway for foreign legal services</w:t>
      </w:r>
      <w:r>
        <w:t xml:space="preserve">. This gap impedes effective professional development strategies for</w:t>
      </w:r>
      <w:r>
        <w:t xml:space="preserve"> </w:t>
      </w:r>
      <w:r>
        <w:rPr>
          <w:iCs/>
          <w:i/>
        </w:rPr>
        <w:t xml:space="preserve">lawyers</w:t>
      </w:r>
      <w:r>
        <w:t xml:space="preserve"> </w:t>
      </w:r>
      <w:r>
        <w:t xml:space="preserve">operating in this pivotal city of</w:t>
      </w:r>
      <w:r>
        <w:t xml:space="preserve"> </w:t>
      </w:r>
      <w:r>
        <w:rPr>
          <w:bCs/>
          <w:b/>
        </w:rPr>
        <w:t xml:space="preserve">Saudi Arabia Jeddah</w:t>
      </w:r>
      <w:r>
        <w:t xml:space="preserve">.</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RQ1:</w:t>
      </w:r>
      <w:r>
        <w:t xml:space="preserve"> </w:t>
      </w:r>
      <w:r>
        <w:t xml:space="preserve">How do lawyers in Jeddah navigate the integration of Islamic jurisprudence with contemporary commercial law amid Vision 2030 reforms?</w:t>
      </w:r>
    </w:p>
    <w:p>
      <w:pPr>
        <w:numPr>
          <w:ilvl w:val="0"/>
          <w:numId w:val="1001"/>
        </w:numPr>
        <w:pStyle w:val="Compact"/>
      </w:pPr>
      <w:r>
        <w:rPr>
          <w:bCs/>
          <w:b/>
        </w:rPr>
        <w:t xml:space="preserve">RQ2:</w:t>
      </w:r>
      <w:r>
        <w:t xml:space="preserve"> </w:t>
      </w:r>
      <w:r>
        <w:t xml:space="preserve">What barriers prevent lawyers from Jeddah from effectively serving multinational clients in sectors like tourism, shipping, and real estate?</w:t>
      </w:r>
    </w:p>
    <w:p>
      <w:pPr>
        <w:numPr>
          <w:ilvl w:val="0"/>
          <w:numId w:val="1001"/>
        </w:numPr>
        <w:pStyle w:val="Compact"/>
      </w:pPr>
      <w:r>
        <w:rPr>
          <w:bCs/>
          <w:b/>
        </w:rPr>
        <w:t xml:space="preserve">RQ3:</w:t>
      </w:r>
      <w:r>
        <w:t xml:space="preserve"> </w:t>
      </w:r>
      <w:r>
        <w:t xml:space="preserve">How can legal education and bar association frameworks in Jeddah be restructured to meet global standards while respecting Saudi cultural values?</w:t>
      </w:r>
    </w:p>
    <w:p>
      <w:pPr>
        <w:pStyle w:val="FirstParagraph"/>
      </w:pPr>
      <w:r>
        <w:t xml:space="preserve">The primary objectives of this thesis are: (1) To map the evolving responsibilities of lawyers across key economic sectors in Jeddah; (2) To identify systemic barriers affecting legal service delivery; and (3) To propose evidence-based recommendations for professional development frameworks tailored to Jeddah's context. These objectives directly address the underexplored nexus between</w:t>
      </w:r>
      <w:r>
        <w:t xml:space="preserve"> </w:t>
      </w:r>
      <w:r>
        <w:rPr>
          <w:iCs/>
          <w:i/>
        </w:rPr>
        <w:t xml:space="preserve">lawyer</w:t>
      </w:r>
      <w:r>
        <w:t xml:space="preserve"> </w:t>
      </w:r>
      <w:r>
        <w:t xml:space="preserve">practice, regional urban dynamics, and national legal transformation in</w:t>
      </w:r>
      <w:r>
        <w:t xml:space="preserve"> </w:t>
      </w:r>
      <w:r>
        <w:rPr>
          <w:bCs/>
          <w:b/>
        </w:rPr>
        <w:t xml:space="preserve">Saudi Arabia Jeddah</w:t>
      </w:r>
      <w:r>
        <w:t xml:space="preserve">.</w:t>
      </w:r>
    </w:p>
    <w:bookmarkEnd w:id="22"/>
    <w:bookmarkStart w:id="23" w:name="literature-review-synthesis"/>
    <w:p>
      <w:pPr>
        <w:pStyle w:val="Heading2"/>
      </w:pPr>
      <w:r>
        <w:t xml:space="preserve">Literature Review (Synthesis)</w:t>
      </w:r>
    </w:p>
    <w:p>
      <w:pPr>
        <w:pStyle w:val="FirstParagraph"/>
      </w:pPr>
      <w:r>
        <w:t xml:space="preserve">Existing scholarship on Saudi legal reform primarily examines legislative changes (e.g., Al-Suhaibani, 2020) or macro-level economic impacts (Al-Masri, 2021), but overlooks micro-level practitioner experiences in secondary cities like Jeddah. Studies by Al-Turki (2019) on "Islamic Law in Commercial Courts" omit Jeddah's unique position as a port city with 35% of Saudi Arabia’s foreign trade, while Abdullah (2022) on legal ethics focuses solely on Riyadh-based bar associations. Crucially, no research analyzes how</w:t>
      </w:r>
      <w:r>
        <w:t xml:space="preserve"> </w:t>
      </w:r>
      <w:r>
        <w:rPr>
          <w:iCs/>
          <w:i/>
        </w:rPr>
        <w:t xml:space="preserve">lawyers</w:t>
      </w:r>
      <w:r>
        <w:t xml:space="preserve"> </w:t>
      </w:r>
      <w:r>
        <w:t xml:space="preserve">in Jeddah reconcile religious obligations with international arbitration standards—a tension intensifying as Jeddah hosts 40% of Saudi Arabia’s tourism sector and the new King Abdullah Financial District (KAFD) expansion. This thesis fills that void by centering on</w:t>
      </w:r>
      <w:r>
        <w:t xml:space="preserve"> </w:t>
      </w:r>
      <w:r>
        <w:rPr>
          <w:bCs/>
          <w:b/>
        </w:rPr>
        <w:t xml:space="preserve">Saudi Arabia Jeddah</w:t>
      </w:r>
      <w:r>
        <w:t xml:space="preserve"> </w:t>
      </w:r>
      <w:r>
        <w:t xml:space="preserve">as a laboratory for legal innovation.</w:t>
      </w:r>
    </w:p>
    <w:bookmarkEnd w:id="23"/>
    <w:bookmarkStart w:id="24" w:name="methodology"/>
    <w:p>
      <w:pPr>
        <w:pStyle w:val="Heading2"/>
      </w:pPr>
      <w:r>
        <w:t xml:space="preserve">Methodology</w:t>
      </w:r>
    </w:p>
    <w:p>
      <w:pPr>
        <w:pStyle w:val="FirstParagraph"/>
      </w:pPr>
      <w:r>
        <w:t xml:space="preserve">A mixed-methods approach will be employed, triangulating qualitative and quantitative data to ensure robustness:</w:t>
      </w:r>
    </w:p>
    <w:p>
      <w:pPr>
        <w:numPr>
          <w:ilvl w:val="0"/>
          <w:numId w:val="1002"/>
        </w:numPr>
        <w:pStyle w:val="Compact"/>
      </w:pPr>
      <w:r>
        <w:rPr>
          <w:bCs/>
          <w:b/>
        </w:rPr>
        <w:t xml:space="preserve">Phase 1 (Quantitative):</w:t>
      </w:r>
      <w:r>
        <w:t xml:space="preserve"> </w:t>
      </w:r>
      <w:r>
        <w:t xml:space="preserve">Survey of 150 licensed lawyers at Jeddah’s Bar Association (2023), measuring proficiency in new laws, client diversity metrics, and perceived barriers.</w:t>
      </w:r>
    </w:p>
    <w:p>
      <w:pPr>
        <w:numPr>
          <w:ilvl w:val="0"/>
          <w:numId w:val="1002"/>
        </w:numPr>
        <w:pStyle w:val="Compact"/>
      </w:pPr>
      <w:r>
        <w:rPr>
          <w:bCs/>
          <w:b/>
        </w:rPr>
        <w:t xml:space="preserve">Phase 2 (Qualitative):</w:t>
      </w:r>
      <w:r>
        <w:t xml:space="preserve"> </w:t>
      </w:r>
      <w:r>
        <w:t xml:space="preserve">Semi-structured interviews with 30 legal practitioners (including senior partners from firms like Al-Othman &amp; Partners and in-house counsel at Jeddah’s Tourism Ministry) to explore case studies of cross-cultural disputes.</w:t>
      </w:r>
    </w:p>
    <w:p>
      <w:pPr>
        <w:numPr>
          <w:ilvl w:val="0"/>
          <w:numId w:val="1002"/>
        </w:numPr>
        <w:pStyle w:val="Compact"/>
      </w:pPr>
      <w:r>
        <w:rPr>
          <w:bCs/>
          <w:b/>
        </w:rPr>
        <w:t xml:space="preserve">Phase 3 (Policy Analysis):</w:t>
      </w:r>
      <w:r>
        <w:t xml:space="preserve"> </w:t>
      </w:r>
      <w:r>
        <w:t xml:space="preserve">Comparative assessment of training frameworks in Jeddah versus Dubai/Abu Dhabi, using data from Saudi Legal Professional Development Program (LPDP) reports.</w:t>
      </w:r>
    </w:p>
    <w:p>
      <w:pPr>
        <w:pStyle w:val="FirstParagraph"/>
      </w:pPr>
      <w:r>
        <w:t xml:space="preserve">Data collection will occur through Jeddah-based research partners (e.g., King Abdulaziz University’s Faculty of Law), ensuring cultural sensitivity and access to confidential professional networks. Ethical approval will be secured via the University’s Institutional Review Board, with anonymized client data used to protect identities.</w:t>
      </w:r>
    </w:p>
    <w:bookmarkEnd w:id="24"/>
    <w:bookmarkStart w:id="25" w:name="expected-contributions"/>
    <w:p>
      <w:pPr>
        <w:pStyle w:val="Heading2"/>
      </w:pPr>
      <w:r>
        <w:t xml:space="preserve">Expected Contributions</w:t>
      </w:r>
    </w:p>
    <w:p>
      <w:pPr>
        <w:pStyle w:val="FirstParagraph"/>
      </w:pPr>
      <w:r>
        <w:t xml:space="preserve">This research promises three significant contributions:</w:t>
      </w:r>
    </w:p>
    <w:p>
      <w:pPr>
        <w:numPr>
          <w:ilvl w:val="0"/>
          <w:numId w:val="1003"/>
        </w:numPr>
        <w:pStyle w:val="Compact"/>
      </w:pPr>
      <w:r>
        <w:rPr>
          <w:bCs/>
          <w:b/>
        </w:rPr>
        <w:t xml:space="preserve">Theoretical:</w:t>
      </w:r>
      <w:r>
        <w:t xml:space="preserve"> </w:t>
      </w:r>
      <w:r>
        <w:t xml:space="preserve">It advances "legal sociology" by introducing Jeddah’s urban-legal ecosystem as a model for post-oil economies, challenging Western-centric frameworks in legal studies.</w:t>
      </w:r>
    </w:p>
    <w:p>
      <w:pPr>
        <w:numPr>
          <w:ilvl w:val="0"/>
          <w:numId w:val="1003"/>
        </w:numPr>
        <w:pStyle w:val="Compact"/>
      </w:pPr>
      <w:r>
        <w:rPr>
          <w:bCs/>
          <w:b/>
        </w:rPr>
        <w:t xml:space="preserve">Practical:</w:t>
      </w:r>
      <w:r>
        <w:t xml:space="preserve"> </w:t>
      </w:r>
      <w:r>
        <w:t xml:space="preserve">The findings will inform the Saudi Ministry of Justice’s Legal Professional Development Strategy (2025), directly aiding initiatives like the newly launched "Jeddah Legal Hub" to attract foreign law firms.</w:t>
      </w:r>
    </w:p>
    <w:p>
      <w:pPr>
        <w:numPr>
          <w:ilvl w:val="0"/>
          <w:numId w:val="1003"/>
        </w:numPr>
        <w:pStyle w:val="Compact"/>
      </w:pPr>
      <w:r>
        <w:rPr>
          <w:bCs/>
          <w:b/>
        </w:rPr>
        <w:t xml:space="preserve">Societal:</w:t>
      </w:r>
      <w:r>
        <w:t xml:space="preserve"> </w:t>
      </w:r>
      <w:r>
        <w:t xml:space="preserve">By emphasizing</w:t>
      </w:r>
      <w:r>
        <w:t xml:space="preserve"> </w:t>
      </w:r>
      <w:r>
        <w:rPr>
          <w:iCs/>
          <w:i/>
        </w:rPr>
        <w:t xml:space="preserve">lawyer</w:t>
      </w:r>
      <w:r>
        <w:t xml:space="preserve">-client trust-building in culturally nuanced contexts, it supports Vision 2030’s goals of enhancing Saudi Arabia's global competitiveness while preserving Islamic values. For instance, recommendations may streamline processes for expatriate business owners navigating inheritance laws in Jeddah’s residential zones.</w:t>
      </w:r>
    </w:p>
    <w:bookmarkEnd w:id="25"/>
    <w:bookmarkStart w:id="26" w:name="timeline-and-feasibility"/>
    <w:p>
      <w:pPr>
        <w:pStyle w:val="Heading2"/>
      </w:pPr>
      <w:r>
        <w:t xml:space="preserve">Timeline and Feasibility</w:t>
      </w:r>
    </w:p>
    <w:p>
      <w:pPr>
        <w:pStyle w:val="FirstParagraph"/>
      </w:pPr>
      <w:r>
        <w:t xml:space="preserve">The project is feasible within 18 months (August 2024–January 2026), leveraging established partnerships with Jeddah’s Legal Training Institute. Phase 1 data collection aligns with the Saudi Ministry of Justice’s annual legal services report cycle, ensuring timely access to institutional data. The city’s digital infrastructure—Jeddah Smart City Initiative and online court portals—facilitates efficient survey dissemination and interview scheduling.</w:t>
      </w:r>
    </w:p>
    <w:bookmarkEnd w:id="26"/>
    <w:bookmarkStart w:id="27" w:name="conclusion"/>
    <w:p>
      <w:pPr>
        <w:pStyle w:val="Heading2"/>
      </w:pPr>
      <w:r>
        <w:t xml:space="preserve">Conclusion</w:t>
      </w:r>
    </w:p>
    <w:p>
      <w:pPr>
        <w:pStyle w:val="FirstParagraph"/>
      </w:pPr>
      <w:r>
        <w:t xml:space="preserve">The role of a</w:t>
      </w:r>
      <w:r>
        <w:t xml:space="preserve"> </w:t>
      </w:r>
      <w:r>
        <w:rPr>
          <w:iCs/>
          <w:i/>
        </w:rPr>
        <w:t xml:space="preserve">lawyer</w:t>
      </w:r>
      <w:r>
        <w:t xml:space="preserve"> </w:t>
      </w:r>
      <w:r>
        <w:t xml:space="preserve">in contemporary Jeddah, Saudi Arabia, transcends traditional advocacy. It embodies the kingdom’s strategic pivot toward a knowledge-based economy where legal expertise directly fuels investment, tourism, and social cohesion. This thesis will not merely document challenges but co-create solutions for</w:t>
      </w:r>
      <w:r>
        <w:t xml:space="preserve"> </w:t>
      </w:r>
      <w:r>
        <w:rPr>
          <w:bCs/>
          <w:b/>
        </w:rPr>
        <w:t xml:space="preserve">Saudi Arabia Jeddah</w:t>
      </w:r>
      <w:r>
        <w:t xml:space="preserve">'s legal sector—ensuring that as the city becomes a global "legal destination," its lawyers are equipped to uphold justice with cultural intelligence. By centering on Jeddah’s unique position, this research transforms abstract Vision 2030 policies into actionable professional pathways for</w:t>
      </w:r>
      <w:r>
        <w:t xml:space="preserve"> </w:t>
      </w:r>
      <w:r>
        <w:rPr>
          <w:iCs/>
          <w:i/>
        </w:rPr>
        <w:t xml:space="preserve">lawyers</w:t>
      </w:r>
      <w:r>
        <w:t xml:space="preserve">, ultimately strengthening the kingdom’s legal ecosystem from its most vibrant urban nucleus.</w:t>
      </w:r>
    </w:p>
    <w:bookmarkEnd w:id="27"/>
    <w:bookmarkStart w:id="28" w:name="references-selected"/>
    <w:p>
      <w:pPr>
        <w:pStyle w:val="Heading2"/>
      </w:pPr>
      <w:r>
        <w:t xml:space="preserve">References (Selected)</w:t>
      </w:r>
    </w:p>
    <w:p>
      <w:pPr>
        <w:numPr>
          <w:ilvl w:val="0"/>
          <w:numId w:val="1004"/>
        </w:numPr>
        <w:pStyle w:val="Compact"/>
      </w:pPr>
      <w:r>
        <w:t xml:space="preserve">Al-Suhaibani, S. (2020). *Legal Reforms in Saudi Arabia: A Post-Vision 2030 Analysis*. Journal of Arabian Law.</w:t>
      </w:r>
    </w:p>
    <w:p>
      <w:pPr>
        <w:numPr>
          <w:ilvl w:val="0"/>
          <w:numId w:val="1004"/>
        </w:numPr>
        <w:pStyle w:val="Compact"/>
      </w:pPr>
      <w:r>
        <w:t xml:space="preserve">Al-Masri, H. (2021). *Economic Diversification and Legal Services Demand*. KSA Economic Review.</w:t>
      </w:r>
    </w:p>
    <w:p>
      <w:pPr>
        <w:numPr>
          <w:ilvl w:val="0"/>
          <w:numId w:val="1004"/>
        </w:numPr>
        <w:pStyle w:val="Compact"/>
      </w:pPr>
      <w:r>
        <w:t xml:space="preserve">Saudi Ministry of Justice. (2023). *Annual Legal Sector Report: Jeddah Focus*.</w:t>
      </w:r>
    </w:p>
    <w:p>
      <w:pPr>
        <w:numPr>
          <w:ilvl w:val="0"/>
          <w:numId w:val="1004"/>
        </w:numPr>
        <w:pStyle w:val="Compact"/>
      </w:pPr>
      <w:r>
        <w:t xml:space="preserve">Al-Turki, M. (2019). *Islamic Jurisprudence in Commercial Courts*. King Saud University Press.</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Jeddah, Saudi Arabia</dc:title>
  <dc:creator/>
  <dc:language>en</dc:language>
  <cp:keywords/>
  <dcterms:created xsi:type="dcterms:W3CDTF">2025-12-12T02:51:38Z</dcterms:created>
  <dcterms:modified xsi:type="dcterms:W3CDTF">2025-12-12T02:51:38Z</dcterms:modified>
</cp:coreProperties>
</file>

<file path=docProps/custom.xml><?xml version="1.0" encoding="utf-8"?>
<Properties xmlns="http://schemas.openxmlformats.org/officeDocument/2006/custom-properties" xmlns:vt="http://schemas.openxmlformats.org/officeDocument/2006/docPropsVTypes"/>
</file>