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Legal</w:t>
      </w:r>
      <w:r>
        <w:t xml:space="preserve"> </w:t>
      </w:r>
      <w:r>
        <w:t xml:space="preserve">Practice</w:t>
      </w:r>
      <w:r>
        <w:t xml:space="preserve"> </w:t>
      </w:r>
      <w:r>
        <w:t xml:space="preserve">in</w:t>
      </w:r>
      <w:r>
        <w:t xml:space="preserve"> </w:t>
      </w:r>
      <w:r>
        <w:t xml:space="preserve">Saudi</w:t>
      </w:r>
      <w:r>
        <w:t xml:space="preserve"> </w:t>
      </w:r>
      <w:r>
        <w:t xml:space="preserve">Arabia</w:t>
      </w:r>
      <w:r>
        <w:t xml:space="preserve"> </w:t>
      </w:r>
      <w:r>
        <w:t xml:space="preserve">Riyadh</w:t>
      </w:r>
    </w:p>
    <w:bookmarkStart w:id="29" w:name="X7fd741552f9b82b09d6c5f837eee5be89f4cacf"/>
    <w:p>
      <w:pPr>
        <w:pStyle w:val="Heading1"/>
      </w:pPr>
      <w:r>
        <w:t xml:space="preserve">Thesis Proposal: Enhancing Professional Competence and Ethical Standards for the Modern Lawyer in Saudi Arabia Riyadh</w:t>
      </w:r>
    </w:p>
    <w:bookmarkStart w:id="20" w:name="introduction-and-background"/>
    <w:p>
      <w:pPr>
        <w:pStyle w:val="Heading2"/>
      </w:pPr>
      <w:r>
        <w:t xml:space="preserve">1. Introduction and Background</w:t>
      </w:r>
    </w:p>
    <w:p>
      <w:pPr>
        <w:pStyle w:val="FirstParagraph"/>
      </w:pPr>
      <w:r>
        <w:t xml:space="preserve">The Kingdom of Saudi Arabia is undergoing unprecedented transformation under Vision 2030, positioning Riyadh as a global hub for commerce, innovation, and international investment. This economic diversification necessitates a robust legal framework capable of supporting complex cross-border transactions, foreign investments, and evolving regulatory landscapes. As the capital city and administrative center of the Kingdom, Riyadh serves as the epicenter for legal development in</w:t>
      </w:r>
      <w:r>
        <w:t xml:space="preserve"> </w:t>
      </w:r>
      <w:r>
        <w:rPr>
          <w:bCs/>
          <w:b/>
        </w:rPr>
        <w:t xml:space="preserve">Saudi Arabia Riyadh</w:t>
      </w:r>
      <w:r>
        <w:t xml:space="preserve">. However, despite significant progress in judicial reforms through initiatives like the Saudi Legal System Modernization Project (2018), a critical gap persists between current legal practice standards and the demands of a modern economy. This thesis addresses the urgent need to elevate professional competence, ethical adherence, and strategic relevance for every</w:t>
      </w:r>
      <w:r>
        <w:t xml:space="preserve"> </w:t>
      </w:r>
      <w:r>
        <w:rPr>
          <w:bCs/>
          <w:b/>
        </w:rPr>
        <w:t xml:space="preserve">Lawyer</w:t>
      </w:r>
      <w:r>
        <w:t xml:space="preserve"> </w:t>
      </w:r>
      <w:r>
        <w:t xml:space="preserve">operating within Riyadh's dynamic legal ecosystem.</w:t>
      </w:r>
    </w:p>
    <w:bookmarkEnd w:id="20"/>
    <w:bookmarkStart w:id="21" w:name="problem-statement"/>
    <w:p>
      <w:pPr>
        <w:pStyle w:val="Heading2"/>
      </w:pPr>
      <w:r>
        <w:t xml:space="preserve">2. Problem Statement</w:t>
      </w:r>
    </w:p>
    <w:p>
      <w:pPr>
        <w:pStyle w:val="FirstParagraph"/>
      </w:pPr>
      <w:r>
        <w:t xml:space="preserve">The rapid expansion of commercial activity in Riyadh has exposed systemic challenges in legal practice: (1) A significant skills gap exists between traditional legal education and contemporary demands, particularly regarding international arbitration, fintech regulation, and corporate compliance; (2) Ethical dilemmas arising from cultural integration with global business practices remain inadequately addressed in professional training; (3) Fragmentation across legal service providers hinders client accessibility to specialized expertise. These issues collectively impede Riyadh's aspiration to become a leading jurisdiction for the Middle East. Without targeted intervention, the profession risks becoming an obstacle rather than an enabler of Vision 2030 objectives.</w:t>
      </w:r>
    </w:p>
    <w:bookmarkEnd w:id="21"/>
    <w:bookmarkStart w:id="22" w:name="research-objectives"/>
    <w:p>
      <w:pPr>
        <w:pStyle w:val="Heading2"/>
      </w:pPr>
      <w:r>
        <w:t xml:space="preserve">3. Research Objectives</w:t>
      </w:r>
    </w:p>
    <w:p>
      <w:pPr>
        <w:numPr>
          <w:ilvl w:val="0"/>
          <w:numId w:val="1001"/>
        </w:numPr>
        <w:pStyle w:val="Compact"/>
      </w:pPr>
      <w:r>
        <w:t xml:space="preserve">To comprehensively assess current competency frameworks for lawyers in Riyadh through empirical analysis of professional development programs and client satisfaction metrics.</w:t>
      </w:r>
    </w:p>
    <w:p>
      <w:pPr>
        <w:numPr>
          <w:ilvl w:val="0"/>
          <w:numId w:val="1001"/>
        </w:numPr>
        <w:pStyle w:val="Compact"/>
      </w:pPr>
      <w:r>
        <w:t xml:space="preserve">To identify ethical challenges unique to the Saudi legal context, particularly regarding cross-cultural business engagements and digital evidence protocols.</w:t>
      </w:r>
    </w:p>
    <w:p>
      <w:pPr>
        <w:numPr>
          <w:ilvl w:val="0"/>
          <w:numId w:val="1001"/>
        </w:numPr>
        <w:pStyle w:val="Compact"/>
      </w:pPr>
      <w:r>
        <w:t xml:space="preserve">To develop a practical competency model integrating Sharia principles with modern international legal standards tailored for Riyadh's commercial environment.</w:t>
      </w:r>
    </w:p>
    <w:p>
      <w:pPr>
        <w:numPr>
          <w:ilvl w:val="0"/>
          <w:numId w:val="1001"/>
        </w:numPr>
        <w:pStyle w:val="Compact"/>
      </w:pPr>
      <w:r>
        <w:t xml:space="preserve">To propose policy recommendations for the Ministry of Justice and Saudi Legal Profession Council to institutionalize continuous professional development (CPD) requirements.</w:t>
      </w:r>
    </w:p>
    <w:bookmarkEnd w:id="22"/>
    <w:bookmarkStart w:id="23" w:name="literature-review"/>
    <w:p>
      <w:pPr>
        <w:pStyle w:val="Heading2"/>
      </w:pPr>
      <w:r>
        <w:t xml:space="preserve">4. Literature Review</w:t>
      </w:r>
    </w:p>
    <w:p>
      <w:pPr>
        <w:pStyle w:val="FirstParagraph"/>
      </w:pPr>
      <w:r>
        <w:t xml:space="preserve">Existing scholarship on legal profession in the Gulf region predominantly focuses on legislative reforms rather than practitioner-level capacity building (Al-Suwaidi, 2021). Studies by Al-Harbi (2023) document Riyadh's judicial infrastructure expansion but overlook lawyer-specific challenges. International frameworks like IBA's Legal Skills Framework have not been contextualized for</w:t>
      </w:r>
      <w:r>
        <w:t xml:space="preserve"> </w:t>
      </w:r>
      <w:r>
        <w:rPr>
          <w:bCs/>
          <w:b/>
        </w:rPr>
        <w:t xml:space="preserve">Saudi Arabia Riyadh</w:t>
      </w:r>
      <w:r>
        <w:t xml:space="preserve">'s unique socio-legal environment. Crucially, no research has examined how Vision 2030’s economic diversification directly impacts the daily practice of a</w:t>
      </w:r>
      <w:r>
        <w:t xml:space="preserve"> </w:t>
      </w:r>
      <w:r>
        <w:rPr>
          <w:bCs/>
          <w:b/>
        </w:rPr>
        <w:t xml:space="preserve">Lawyer</w:t>
      </w:r>
      <w:r>
        <w:t xml:space="preserve"> </w:t>
      </w:r>
      <w:r>
        <w:t xml:space="preserve">in Saudi Arabia’s capital. This gap necessitates an on-the-ground investigation into professional realities beyond theoretical policy documents.</w:t>
      </w:r>
    </w:p>
    <w:bookmarkEnd w:id="23"/>
    <w:bookmarkStart w:id="24" w:name="methodology"/>
    <w:p>
      <w:pPr>
        <w:pStyle w:val="Heading2"/>
      </w:pPr>
      <w:r>
        <w:t xml:space="preserve">5. Methodology</w:t>
      </w:r>
    </w:p>
    <w:p>
      <w:pPr>
        <w:pStyle w:val="FirstParagraph"/>
      </w:pPr>
      <w:r>
        <w:t xml:space="preserve">This study employs a mixed-methods approach designed for contextual rigor:</w:t>
      </w:r>
    </w:p>
    <w:p>
      <w:pPr>
        <w:numPr>
          <w:ilvl w:val="0"/>
          <w:numId w:val="1002"/>
        </w:numPr>
        <w:pStyle w:val="Compact"/>
      </w:pPr>
      <w:r>
        <w:rPr>
          <w:bCs/>
          <w:b/>
        </w:rPr>
        <w:t xml:space="preserve">Phase 1 (Quantitative):</w:t>
      </w:r>
      <w:r>
        <w:t xml:space="preserve"> </w:t>
      </w:r>
      <w:r>
        <w:t xml:space="preserve">Survey of 350 licensed lawyers across Riyadh’s major law firms and in-house legal departments (targeting 70% response rate) assessing competency gaps using Likert-scale instruments validated through pilot testing.</w:t>
      </w:r>
    </w:p>
    <w:p>
      <w:pPr>
        <w:numPr>
          <w:ilvl w:val="0"/>
          <w:numId w:val="1002"/>
        </w:numPr>
        <w:pStyle w:val="Compact"/>
      </w:pPr>
      <w:r>
        <w:rPr>
          <w:bCs/>
          <w:b/>
        </w:rPr>
        <w:t xml:space="preserve">Phase 2 (Qualitative):</w:t>
      </w:r>
      <w:r>
        <w:t xml:space="preserve"> </w:t>
      </w:r>
      <w:r>
        <w:t xml:space="preserve">In-depth interviews with 30 senior practitioners, Ministry of Justice officials, and international arbitration specialists to explore ethical dilemmas and regulatory friction points.</w:t>
      </w:r>
    </w:p>
    <w:p>
      <w:pPr>
        <w:numPr>
          <w:ilvl w:val="0"/>
          <w:numId w:val="1002"/>
        </w:numPr>
        <w:pStyle w:val="Compact"/>
      </w:pPr>
      <w:r>
        <w:rPr>
          <w:bCs/>
          <w:b/>
        </w:rPr>
        <w:t xml:space="preserve">Phase 3 (Document Analysis):</w:t>
      </w:r>
      <w:r>
        <w:t xml:space="preserve"> </w:t>
      </w:r>
      <w:r>
        <w:t xml:space="preserve">Review of Saudi Legal Profession Council guidelines, Vision 2030 implementation reports, and comparative studies from Abu Dhabi Global Market (ADGM) legal frameworks.</w:t>
      </w:r>
    </w:p>
    <w:p>
      <w:pPr>
        <w:pStyle w:val="FirstParagraph"/>
      </w:pPr>
      <w:r>
        <w:t xml:space="preserve">Data analysis will use NVivo for thematic coding and SPSS for statistical validation. Ethical approval will be secured from King Saud University’s Research Ethics Committee prior to fieldwork.</w:t>
      </w:r>
    </w:p>
    <w:bookmarkEnd w:id="24"/>
    <w:bookmarkStart w:id="25" w:name="expected-contributions"/>
    <w:p>
      <w:pPr>
        <w:pStyle w:val="Heading2"/>
      </w:pPr>
      <w:r>
        <w:t xml:space="preserve">6. Expected Contributions</w:t>
      </w:r>
    </w:p>
    <w:p>
      <w:pPr>
        <w:pStyle w:val="FirstParagraph"/>
      </w:pPr>
      <w:r>
        <w:t xml:space="preserve">This research offers three distinct contributions:</w:t>
      </w:r>
    </w:p>
    <w:p>
      <w:pPr>
        <w:numPr>
          <w:ilvl w:val="0"/>
          <w:numId w:val="1003"/>
        </w:numPr>
        <w:pStyle w:val="Compact"/>
      </w:pPr>
      <w:r>
        <w:rPr>
          <w:bCs/>
          <w:b/>
        </w:rPr>
        <w:t xml:space="preserve">Academic:</w:t>
      </w:r>
      <w:r>
        <w:t xml:space="preserve"> </w:t>
      </w:r>
      <w:r>
        <w:t xml:space="preserve">The first empirical study mapping competency requirements for a modern lawyer in Riyadh, bridging theoretical legal scholarship with practice-oriented insights specific to Saudi Arabia's context.</w:t>
      </w:r>
    </w:p>
    <w:p>
      <w:pPr>
        <w:numPr>
          <w:ilvl w:val="0"/>
          <w:numId w:val="1003"/>
        </w:numPr>
        <w:pStyle w:val="Compact"/>
      </w:pPr>
      <w:r>
        <w:rPr>
          <w:bCs/>
          <w:b/>
        </w:rPr>
        <w:t xml:space="preserve">Professional:</w:t>
      </w:r>
      <w:r>
        <w:t xml:space="preserve"> </w:t>
      </w:r>
      <w:r>
        <w:t xml:space="preserve">A validated competency framework for law firms and educational institutions (e.g., King Saud University Law School) to redesign CPD curricula addressing gaps identified through practitioner input.</w:t>
      </w:r>
    </w:p>
    <w:p>
      <w:pPr>
        <w:numPr>
          <w:ilvl w:val="0"/>
          <w:numId w:val="1003"/>
        </w:numPr>
        <w:pStyle w:val="Compact"/>
      </w:pPr>
      <w:r>
        <w:rPr>
          <w:bCs/>
          <w:b/>
        </w:rPr>
        <w:t xml:space="preserve">Policy:</w:t>
      </w:r>
      <w:r>
        <w:t xml:space="preserve"> </w:t>
      </w:r>
      <w:r>
        <w:t xml:space="preserve">Evidence-based recommendations for the Saudi Legal Profession Council to establish mandatory ethical training modules on digital evidence handling and cross-cultural negotiation—critical for Riyadh’s position as a global business destination.</w:t>
      </w:r>
    </w:p>
    <w:bookmarkEnd w:id="25"/>
    <w:bookmarkStart w:id="26" w:name="significance-to-saudi-arabia-riyadh"/>
    <w:p>
      <w:pPr>
        <w:pStyle w:val="Heading2"/>
      </w:pPr>
      <w:r>
        <w:t xml:space="preserve">7. Significance to Saudi Arabia Riyadh</w:t>
      </w:r>
    </w:p>
    <w:p>
      <w:pPr>
        <w:pStyle w:val="FirstParagraph"/>
      </w:pPr>
      <w:r>
        <w:t xml:space="preserve">Riyadh’s emergence as a regional legal hub directly depends on its ability to attract international firms and resolve complex disputes efficiently. A competent, ethically grounded</w:t>
      </w:r>
      <w:r>
        <w:t xml:space="preserve"> </w:t>
      </w:r>
      <w:r>
        <w:rPr>
          <w:bCs/>
          <w:b/>
        </w:rPr>
        <w:t xml:space="preserve">Lawyer</w:t>
      </w:r>
      <w:r>
        <w:t xml:space="preserve"> </w:t>
      </w:r>
      <w:r>
        <w:t xml:space="preserve">is the cornerstone of this vision. This research directly supports two key Vision 2030 pillars: (1) Economic diversification through enhanced legal infrastructure for non-oil sectors; and (2) Human development via professional upgrading programs aligned with national skills strategy. By focusing exclusively on Riyadh—the nation’s legal nerve center—this thesis ensures findings are immediately applicable to the city driving Saudi Arabia's transformation. It moves beyond generic recommendations to prescribe actionable solutions for practitioners operating within the Kingdom’s specific regulatory, cultural, and economic parameters.</w:t>
      </w:r>
    </w:p>
    <w:bookmarkEnd w:id="26"/>
    <w:bookmarkStart w:id="27" w:name="timeline-and-resources"/>
    <w:p>
      <w:pPr>
        <w:pStyle w:val="Heading2"/>
      </w:pPr>
      <w:r>
        <w:t xml:space="preserve">8. Timeline and Resources</w:t>
      </w:r>
    </w:p>
    <w:p>
      <w:pPr>
        <w:pStyle w:val="FirstParagraph"/>
      </w:pPr>
      <w:r>
        <w:t xml:space="preserve">The 18-month project timeline includes: Months 1-3 (literature review), Months 4-7 (survey deployment/interviews), Months 8-12 (data analysis), Months 13-15 (framework development), and Months 16-18 (report finalization). Required resources include access to Riyadh legal associations, Ministry of Justice liaison support, and university research facilities. Budget allocation will prioritize fieldwork in Riyadh’s commercial districts—Wadi Al-Seer, King Abdullah Financial District—to ensure geographic relevance.</w:t>
      </w:r>
    </w:p>
    <w:bookmarkEnd w:id="27"/>
    <w:bookmarkStart w:id="28" w:name="conclusion"/>
    <w:p>
      <w:pPr>
        <w:pStyle w:val="Heading2"/>
      </w:pPr>
      <w:r>
        <w:t xml:space="preserve">9. Conclusion</w:t>
      </w:r>
    </w:p>
    <w:p>
      <w:pPr>
        <w:pStyle w:val="FirstParagraph"/>
      </w:pPr>
      <w:r>
        <w:t xml:space="preserve">The success of</w:t>
      </w:r>
      <w:r>
        <w:t xml:space="preserve"> </w:t>
      </w:r>
      <w:r>
        <w:rPr>
          <w:bCs/>
          <w:b/>
        </w:rPr>
        <w:t xml:space="preserve">Saudi Arabia Riyadh</w:t>
      </w:r>
      <w:r>
        <w:t xml:space="preserve"> </w:t>
      </w:r>
      <w:r>
        <w:t xml:space="preserve">as a global business capital hinges on a legal profession that is both locally attuned and internationally proficient. This Thesis Proposal outlines a rigorous investigation into the evolving role of the modern lawyer within Saudi Arabia's most dynamic legal marketplace. By centering on practitioner experience rather than legislative theory, this research promises to deliver transformative insights for law firms, policymakers, and educational institutions in Riyadh. The proposed competency model will not merely align with Vision 2030—it will actively accelerate it by ensuring that every Lawyer operating in the Kingdom's capital possesses the skills and integrity demanded by a 21st-century economy. This study represents a critical step toward making Riyadh synonymous with legal excellence in the Middle East, fulfilling both national aspirations and global business expectations.</w:t>
      </w:r>
    </w:p>
    <w:p>
      <w:pPr>
        <w:pStyle w:val="BodyText"/>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Legal Practice in Saudi Arabia Riyadh</dc:title>
  <dc:creator/>
  <dc:language>en</dc:language>
  <cp:keywords/>
  <dcterms:created xsi:type="dcterms:W3CDTF">2026-07-23T06:06:32Z</dcterms:created>
  <dcterms:modified xsi:type="dcterms:W3CDTF">2026-07-23T06:06:32Z</dcterms:modified>
</cp:coreProperties>
</file>

<file path=docProps/custom.xml><?xml version="1.0" encoding="utf-8"?>
<Properties xmlns="http://schemas.openxmlformats.org/officeDocument/2006/custom-properties" xmlns:vt="http://schemas.openxmlformats.org/officeDocument/2006/docPropsVTypes"/>
</file>