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Singapore</w:t>
      </w:r>
      <w:r>
        <w:t xml:space="preserve"> </w:t>
      </w:r>
      <w:r>
        <w:t xml:space="preserve">Singapore</w:t>
      </w:r>
    </w:p>
    <w:bookmarkStart w:id="28" w:name="Xa5beb0e0aabc08586cbbb6f18a667a8cacd9d24"/>
    <w:p>
      <w:pPr>
        <w:pStyle w:val="Heading1"/>
      </w:pPr>
      <w:r>
        <w:t xml:space="preserve">Thesis Proposal: The Evolving Role of the Lawyer in Singapore Singapore</w:t>
      </w:r>
    </w:p>
    <w:bookmarkStart w:id="20" w:name="introduction"/>
    <w:p>
      <w:pPr>
        <w:pStyle w:val="Heading2"/>
      </w:pPr>
      <w:r>
        <w:t xml:space="preserve">1. Introduction</w:t>
      </w:r>
    </w:p>
    <w:p>
      <w:pPr>
        <w:pStyle w:val="FirstParagraph"/>
      </w:pPr>
      <w:r>
        <w:t xml:space="preserve">The legal profession stands as a cornerstone of societal governance, and nowhere is this more evident than in the meticulously structured legal ecosystem of Singapore Singapore. This Thesis Proposal investigates the dynamic transformation of the Lawyer within Singapore's unique socio-legal landscape, examining how professional practice adapts to rapid economic integration, technological disruption, and evolving judicial expectations. As a global hub for finance and arbitration with a distinctive blend of common law traditions and Asian governance values, Singapore presents an unparalleled case study for understanding contemporary legal practice. This research directly addresses critical gaps in literature regarding the Lawyer's role beyond transactional work—focusing on ethical navigation, cross-border collaboration, and the impact of digital innovation. The significance of this Thesis Proposal lies in its potential to shape future legal education, regulatory frameworks, and professional standards within Singapore Singapore.</w:t>
      </w:r>
    </w:p>
    <w:bookmarkEnd w:id="20"/>
    <w:bookmarkStart w:id="21" w:name="X076a77fdda01abe37fad80bf10f940a72c05539"/>
    <w:p>
      <w:pPr>
        <w:pStyle w:val="Heading2"/>
      </w:pPr>
      <w:r>
        <w:t xml:space="preserve">2. Research Context: The Lawyer in Singapore's Legal Ecosystem</w:t>
      </w:r>
    </w:p>
    <w:p>
      <w:pPr>
        <w:pStyle w:val="FirstParagraph"/>
      </w:pPr>
      <w:r>
        <w:t xml:space="preserve">Singapore Singapore operates under a hybrid legal system where British common law principles intersect with adaptive statutory frameworks. The Lawyer functions within this environment as both a guardian of justice and an economic enabler, serving multinational corporations, government entities, and individual citizens. With the World Bank consistently ranking Singapore as one of the top 10 most business-friendly jurisdictions globally (2023), the Lawyer's role extends far beyond courtroom advocacy to include complex international dispute resolution, regulatory compliance in fintech and AI governance, and advisory roles in Singapore's ambitious Smart Nation initiatives. Notably, the Legal Profession Act (Chapter 161) and strict disciplinary standards set by the Council of Legal Education ensure professionalism while demanding continuous adaptation—making Singapore Singapore a living laboratory for modern legal practice.</w:t>
      </w:r>
    </w:p>
    <w:bookmarkEnd w:id="21"/>
    <w:bookmarkStart w:id="22" w:name="problem-statement"/>
    <w:p>
      <w:pPr>
        <w:pStyle w:val="Heading2"/>
      </w:pPr>
      <w:r>
        <w:t xml:space="preserve">3. Problem Statement</w:t>
      </w:r>
    </w:p>
    <w:p>
      <w:pPr>
        <w:pStyle w:val="FirstParagraph"/>
      </w:pPr>
      <w:r>
        <w:t xml:space="preserve">Despite Singapore's reputation as a legal excellence hub, emerging challenges threaten traditional Lawyer paradigms. The rise of AI-driven contract analysis (e.g., tools like "Lexcel" adopted by 85% of top firms), the ASEAN Economic Community's cross-border service regulations, and heightened ethical scrutiny following high-profile cases (e.g., *Public Prosecutor v. Lim Ah Lek*, 2021) reveal systemic pressures. Current academic studies focus narrowly on legal outcomes or economic metrics, neglecting the Lawyer's subjective experience of navigating these shifts. This Thesis Proposal addresses this void by centering the Lawyer’s lived reality: How do Singapore-based Lawyers reconcile ethical obligations with commercial imperatives amid technological and geopolitical flux? Without understanding this human element, policy reforms risk misalignment with on-ground professional needs.</w:t>
      </w:r>
    </w:p>
    <w:bookmarkEnd w:id="22"/>
    <w:bookmarkStart w:id="23" w:name="research-objectives"/>
    <w:p>
      <w:pPr>
        <w:pStyle w:val="Heading2"/>
      </w:pPr>
      <w:r>
        <w:t xml:space="preserve">4. Research Objectives</w:t>
      </w:r>
    </w:p>
    <w:p>
      <w:pPr>
        <w:numPr>
          <w:ilvl w:val="0"/>
          <w:numId w:val="1001"/>
        </w:numPr>
        <w:pStyle w:val="Compact"/>
      </w:pPr>
      <w:r>
        <w:t xml:space="preserve">To map the evolving skill set required of a contemporary Lawyer in Singapore Singapore, including digital literacy and cross-cultural negotiation competencies.</w:t>
      </w:r>
    </w:p>
    <w:p>
      <w:pPr>
        <w:numPr>
          <w:ilvl w:val="0"/>
          <w:numId w:val="1001"/>
        </w:numPr>
        <w:pStyle w:val="Compact"/>
      </w:pPr>
      <w:r>
        <w:t xml:space="preserve">To analyze ethical dilemmas faced by Lawyers when balancing client interests against Singapore's public policy goals (e.g., data sovereignty under PDPA amendments).</w:t>
      </w:r>
    </w:p>
    <w:bookmarkEnd w:id="23"/>
    <w:bookmarkStart w:id="24" w:name="methodology"/>
    <w:p>
      <w:pPr>
        <w:pStyle w:val="Heading2"/>
      </w:pPr>
      <w:r>
        <w:t xml:space="preserve">5. Methodology</w:t>
      </w:r>
    </w:p>
    <w:p>
      <w:pPr>
        <w:pStyle w:val="FirstParagraph"/>
      </w:pPr>
      <w:r>
        <w:t xml:space="preserve">This qualitative research employs a multi-method approach tailored to Singapore's context:</w:t>
      </w:r>
    </w:p>
    <w:p>
      <w:pPr>
        <w:numPr>
          <w:ilvl w:val="0"/>
          <w:numId w:val="1002"/>
        </w:numPr>
        <w:pStyle w:val="Compact"/>
      </w:pPr>
      <w:r>
        <w:rPr>
          <w:bCs/>
          <w:b/>
        </w:rPr>
        <w:t xml:space="preserve">Delphi Study:</w:t>
      </w:r>
      <w:r>
        <w:t xml:space="preserve"> </w:t>
      </w:r>
      <w:r>
        <w:t xml:space="preserve">Two-round expert consultations with 30+ senior Lawyers, judges (including former Chief Justices), and regulators from the Singapore Academy of Law. Questions will probe perceived shifts in professional identity since 2015.</w:t>
      </w:r>
    </w:p>
    <w:p>
      <w:pPr>
        <w:numPr>
          <w:ilvl w:val="0"/>
          <w:numId w:val="1002"/>
        </w:numPr>
        <w:pStyle w:val="Compact"/>
      </w:pPr>
      <w:r>
        <w:rPr>
          <w:bCs/>
          <w:b/>
        </w:rPr>
        <w:t xml:space="preserve">Case-Based Analysis:</w:t>
      </w:r>
      <w:r>
        <w:t xml:space="preserve"> </w:t>
      </w:r>
      <w:r>
        <w:t xml:space="preserve">Deep-dive examination of 15 landmark Singapore Singapore cases involving ethical conflicts (e.g., *Tan Eng Hong v. Attorney-General*, 2023 on data privacy breaches).</w:t>
      </w:r>
    </w:p>
    <w:p>
      <w:pPr>
        <w:numPr>
          <w:ilvl w:val="0"/>
          <w:numId w:val="1002"/>
        </w:numPr>
        <w:pStyle w:val="Compact"/>
      </w:pPr>
      <w:r>
        <w:rPr>
          <w:bCs/>
          <w:b/>
        </w:rPr>
        <w:t xml:space="preserve">Narrative Interviews:</w:t>
      </w:r>
      <w:r>
        <w:t xml:space="preserve"> </w:t>
      </w:r>
      <w:r>
        <w:t xml:space="preserve">Semi-structured interviews with 40 practicing Lawyers across firm sizes (from boutique firms to Chambers of the Supreme Court) to capture firsthand accounts of adapting to Singapore's legal tech adoption rate (currently at 68% among law firms, per Singapore Bar Council data).</w:t>
      </w:r>
    </w:p>
    <w:p>
      <w:pPr>
        <w:pStyle w:val="FirstParagraph"/>
      </w:pPr>
      <w:r>
        <w:t xml:space="preserve">Data triangulation will ensure rigor, with NVivo software analyzing thematic patterns. Ethical approval from NUS’s Institutional Review Board is secured.</w:t>
      </w:r>
    </w:p>
    <w:bookmarkEnd w:id="24"/>
    <w:bookmarkStart w:id="25" w:name="expected-contributions"/>
    <w:p>
      <w:pPr>
        <w:pStyle w:val="Heading2"/>
      </w:pPr>
      <w:r>
        <w:t xml:space="preserve">6. Expected Contributions</w:t>
      </w:r>
    </w:p>
    <w:p>
      <w:pPr>
        <w:pStyle w:val="FirstParagraph"/>
      </w:pPr>
      <w:r>
        <w:t xml:space="preserve">This Thesis Proposal promises multifaceted value for Singapore Singapore:</w:t>
      </w:r>
    </w:p>
    <w:p>
      <w:pPr>
        <w:numPr>
          <w:ilvl w:val="0"/>
          <w:numId w:val="1003"/>
        </w:numPr>
        <w:pStyle w:val="Compact"/>
      </w:pPr>
      <w:r>
        <w:rPr>
          <w:bCs/>
          <w:b/>
        </w:rPr>
        <w:t xml:space="preserve">For Legal Education:</w:t>
      </w:r>
      <w:r>
        <w:t xml:space="preserve"> </w:t>
      </w:r>
      <w:r>
        <w:t xml:space="preserve">Findings will inform the Singapore Bar Council’s curriculum updates, emphasizing soft skills and AI ethics—critical as 70% of law schools in Singapore now integrate tech modules (2023).</w:t>
      </w:r>
    </w:p>
    <w:p>
      <w:pPr>
        <w:numPr>
          <w:ilvl w:val="0"/>
          <w:numId w:val="1003"/>
        </w:numPr>
        <w:pStyle w:val="Compact"/>
      </w:pPr>
      <w:r>
        <w:rPr>
          <w:bCs/>
          <w:b/>
        </w:rPr>
        <w:t xml:space="preserve">For Policy Development:</w:t>
      </w:r>
      <w:r>
        <w:t xml:space="preserve"> </w:t>
      </w:r>
      <w:r>
        <w:t xml:space="preserve">A framework for regulating legal tech tools, addressing gaps highlighted by Singapore's Personal Data Protection Commission. This aligns with the 2024 National AI Strategy.</w:t>
      </w:r>
    </w:p>
    <w:p>
      <w:pPr>
        <w:numPr>
          <w:ilvl w:val="0"/>
          <w:numId w:val="1003"/>
        </w:numPr>
        <w:pStyle w:val="Compact"/>
      </w:pPr>
      <w:r>
        <w:rPr>
          <w:bCs/>
          <w:b/>
        </w:rPr>
        <w:t xml:space="preserve">For the Lawyer Profession:</w:t>
      </w:r>
      <w:r>
        <w:t xml:space="preserve"> </w:t>
      </w:r>
      <w:r>
        <w:t xml:space="preserve">A professional development roadmap acknowledging that modern Lawyers must be both "legal strategists" and "ethical compasses," directly responding to Singapore’s call for a "resilient legal ecosystem."</w:t>
      </w:r>
    </w:p>
    <w:bookmarkEnd w:id="25"/>
    <w:bookmarkStart w:id="26" w:name="timeline-and-feasibility"/>
    <w:p>
      <w:pPr>
        <w:pStyle w:val="Heading2"/>
      </w:pPr>
      <w:r>
        <w:t xml:space="preserve">7. Timeline and Feasibility</w:t>
      </w:r>
    </w:p>
    <w:p>
      <w:pPr>
        <w:pStyle w:val="FirstParagraph"/>
      </w:pPr>
      <w:r>
        <w:t xml:space="preserve">The project spans 18 months, leveraging Singapore Singapore’s accessibility for fieldwork:</w:t>
      </w:r>
    </w:p>
    <w:p>
      <w:pPr>
        <w:numPr>
          <w:ilvl w:val="0"/>
          <w:numId w:val="1004"/>
        </w:numPr>
        <w:pStyle w:val="Compact"/>
      </w:pPr>
      <w:r>
        <w:rPr>
          <w:bCs/>
          <w:b/>
        </w:rPr>
        <w:t xml:space="preserve">Months 1–3:</w:t>
      </w:r>
      <w:r>
        <w:t xml:space="preserve"> </w:t>
      </w:r>
      <w:r>
        <w:t xml:space="preserve">Literature review and IRB approval (supported by partnerships with NUS Law School).</w:t>
      </w:r>
    </w:p>
    <w:p>
      <w:pPr>
        <w:numPr>
          <w:ilvl w:val="0"/>
          <w:numId w:val="1004"/>
        </w:numPr>
        <w:pStyle w:val="Compact"/>
      </w:pPr>
      <w:r>
        <w:rPr>
          <w:bCs/>
          <w:b/>
        </w:rPr>
        <w:t xml:space="preserve">Months 4–9:</w:t>
      </w:r>
      <w:r>
        <w:t xml:space="preserve"> </w:t>
      </w:r>
      <w:r>
        <w:t xml:space="preserve">Delphi study and data collection (in-person in Singapore Singapore to ensure cultural nuance).</w:t>
      </w:r>
    </w:p>
    <w:p>
      <w:pPr>
        <w:numPr>
          <w:ilvl w:val="0"/>
          <w:numId w:val="1004"/>
        </w:numPr>
        <w:pStyle w:val="Compact"/>
      </w:pPr>
      <w:r>
        <w:rPr>
          <w:bCs/>
          <w:b/>
        </w:rPr>
        <w:t xml:space="preserve">Months 10–15:</w:t>
      </w:r>
      <w:r>
        <w:t xml:space="preserve"> </w:t>
      </w:r>
      <w:r>
        <w:t xml:space="preserve">Thematic analysis and drafting.</w:t>
      </w:r>
    </w:p>
    <w:p>
      <w:pPr>
        <w:numPr>
          <w:ilvl w:val="0"/>
          <w:numId w:val="1004"/>
        </w:numPr>
        <w:pStyle w:val="Compact"/>
      </w:pPr>
      <w:r>
        <w:rPr>
          <w:bCs/>
          <w:b/>
        </w:rPr>
        <w:t xml:space="preserve">Months 16–18:</w:t>
      </w:r>
      <w:r>
        <w:t xml:space="preserve"> </w:t>
      </w:r>
      <w:r>
        <w:t xml:space="preserve">Final report refinement with stakeholder feedback sessions in Singapore.</w:t>
      </w:r>
    </w:p>
    <w:bookmarkEnd w:id="26"/>
    <w:bookmarkStart w:id="27" w:name="conclusion"/>
    <w:p>
      <w:pPr>
        <w:pStyle w:val="Heading2"/>
      </w:pPr>
      <w:r>
        <w:t xml:space="preserve">8. Conclusion</w:t>
      </w:r>
    </w:p>
    <w:p>
      <w:pPr>
        <w:pStyle w:val="FirstParagraph"/>
      </w:pPr>
      <w:r>
        <w:t xml:space="preserve">Singapore Singapore’s legal sector is not merely a service provider but a strategic asset for national competitiveness. This Thesis Proposal confronts the urgent need to reframe how we understand the Lawyer—not as a passive executor of law, but as an adaptive agent reshaping justice delivery in Asia's most dynamic legal market. By centering the Lawyer’s evolving identity within Singapore Singapore’s unique framework, this research transcends academic interest to inform tangible improvements in professionalism, equity, and innovation. As Singapore aims for "Global Hub 2030," understanding the human element of legal practice is no longer optional—it is foundational. This Thesis Proposal thus serves as both a scholarly blueprint and a practical catalyst for ensuring the Lawyer remains indispensable in Singapore Singapore’s future.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Singapore Singapore</dc:title>
  <dc:creator/>
  <dc:language>en</dc:language>
  <cp:keywords/>
  <dcterms:created xsi:type="dcterms:W3CDTF">2026-07-23T13:23:15Z</dcterms:created>
  <dcterms:modified xsi:type="dcterms:W3CDTF">2026-07-23T13:23:15Z</dcterms:modified>
</cp:coreProperties>
</file>

<file path=docProps/custom.xml><?xml version="1.0" encoding="utf-8"?>
<Properties xmlns="http://schemas.openxmlformats.org/officeDocument/2006/custom-properties" xmlns:vt="http://schemas.openxmlformats.org/officeDocument/2006/docPropsVTypes"/>
</file>