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Dynamics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South</w:t>
      </w:r>
      <w:r>
        <w:t xml:space="preserve"> </w:t>
      </w:r>
      <w:r>
        <w:t xml:space="preserve">Korea</w:t>
      </w:r>
      <w:r>
        <w:t xml:space="preserve"> </w:t>
      </w:r>
      <w:r>
        <w:t xml:space="preserve">Seoul</w:t>
      </w:r>
    </w:p>
    <w:bookmarkStart w:id="29" w:name="Xbb6a6ad0b96a970051cd38a8d2aee292ba6444e"/>
    <w:p>
      <w:pPr>
        <w:pStyle w:val="Heading1"/>
      </w:pPr>
      <w:r>
        <w:t xml:space="preserve">Thesis Proposal: Evolving Professional Dynamics of the Lawyer in Contemporary South Korea Seoul</w:t>
      </w:r>
    </w:p>
    <w:bookmarkStart w:id="20" w:name="introduction"/>
    <w:p>
      <w:pPr>
        <w:pStyle w:val="Heading2"/>
      </w:pPr>
      <w:r>
        <w:t xml:space="preserve">1. Introduction</w:t>
      </w:r>
    </w:p>
    <w:p>
      <w:pPr>
        <w:pStyle w:val="FirstParagraph"/>
      </w:pPr>
      <w:r>
        <w:t xml:space="preserve">The legal profession stands as a cornerstone of governance and societal order within the Republic of South Korea, with Seoul serving as its undisputed epicenter. This Thesis Proposal examines the multifaceted evolution of the Lawyer in South Korea Seoul, analyzing how historical, socio-economic, and institutional shifts are reshaping professional practice within the nation's premier legal hub. As Seoul continues to consolidate its position as a global financial and technological capital, understanding the unique pressures and opportunities confronting Lawyers operating in this dynamic metropolis is critical for both academic discourse and practical legal reform. This research addresses a significant gap in current scholarship by focusing explicitly on Seoul's distinct ecosystem—a city housing over 40% of South Korea's licensed Lawyers, the headquarters of the Korean Bar Association, and the seat of major commercial courts.</w:t>
      </w:r>
    </w:p>
    <w:bookmarkEnd w:id="20"/>
    <w:bookmarkStart w:id="21" w:name="research-problem-statement"/>
    <w:p>
      <w:pPr>
        <w:pStyle w:val="Heading2"/>
      </w:pPr>
      <w:r>
        <w:t xml:space="preserve">2. Research Problem Statement</w:t>
      </w:r>
    </w:p>
    <w:p>
      <w:pPr>
        <w:pStyle w:val="FirstParagraph"/>
      </w:pPr>
      <w:r>
        <w:t xml:space="preserve">While existing studies explore broad trends in Korean legal education or national judicial reforms, they often overlook Seoul-specific challenges. Contemporary Lawyers in South Korea Seoul face unprecedented pressures: escalating caseloads at the Seoul Central District Court (handling over 60% of nationwide commercial disputes), intensifying competition from multinational firms establishing regional HQs, and evolving client demands driven by a rapidly digitizing economy. Crucially, there is a lack of granular empirical research examining how these factors intersect to affect professional identity, ethical decision-making, and service delivery models for the Lawyer specifically within Seoul's urban legal landscape. This Thesis Proposal addresses this gap through focused investigation into Seoul's unique professional context.</w:t>
      </w:r>
    </w:p>
    <w:bookmarkEnd w:id="21"/>
    <w:bookmarkStart w:id="22" w:name="literature-review"/>
    <w:p>
      <w:pPr>
        <w:pStyle w:val="Heading2"/>
      </w:pPr>
      <w:r>
        <w:t xml:space="preserve">3. Literature Review</w:t>
      </w:r>
    </w:p>
    <w:p>
      <w:pPr>
        <w:pStyle w:val="FirstParagraph"/>
      </w:pPr>
      <w:r>
        <w:t xml:space="preserve">Previous scholarship on Korean law has predominantly adopted a national perspective, as seen in seminal works by Kim (2018) on judicial reform or Lee &amp; Park (2020) analyzing legal education. Recent studies by Choi (2021) and the Seoul Bar Association's 2023 annual report acknowledge systemic challenges but lack methodological depth regarding localized practitioner experiences. The concept of 'legal professionalization' in East Asia, as theorized by Kwon (2019), remains underexplored within the specific milieu of Seoul. This thesis builds upon this foundation while shifting focus explicitly to South Korea Seoul, examining how its status as a 'hybrid legal city'—simultaneously traditional and globally integrated—creates distinct pathways for the Lawyer's career trajectory, ethical frameworks, and client engagement strategies that differ markedly from provincial legal practice.</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landscape of the Lawyer in South Korea Seoul through quantitative analysis of court caseloads, firm structures, and licensing trends (2015-2023).</w:t>
      </w:r>
    </w:p>
    <w:p>
      <w:pPr>
        <w:numPr>
          <w:ilvl w:val="0"/>
          <w:numId w:val="1001"/>
        </w:numPr>
        <w:pStyle w:val="Compact"/>
      </w:pPr>
      <w:r>
        <w:t xml:space="preserve">To critically analyze how Seoul-specific factors—such as proximity to government institutions (National Assembly, Ministry of Justice), international business hubs (Yeouido), and cultural dynamics—affect Lawyer workflow, ethics, and client trust.</w:t>
      </w:r>
    </w:p>
    <w:p>
      <w:pPr>
        <w:numPr>
          <w:ilvl w:val="0"/>
          <w:numId w:val="1001"/>
        </w:numPr>
        <w:pStyle w:val="Compact"/>
      </w:pPr>
      <w:r>
        <w:t xml:space="preserve">To investigate the impact of recent legislative changes (e.g., 2021 Legal Professional Act amendments) on entry-level Lawyers' career development within Seoul's competitive market.</w:t>
      </w:r>
    </w:p>
    <w:p>
      <w:pPr>
        <w:numPr>
          <w:ilvl w:val="0"/>
          <w:numId w:val="1001"/>
        </w:numPr>
        <w:pStyle w:val="Compact"/>
      </w:pPr>
      <w:r>
        <w:t xml:space="preserve">To develop evidence-based recommendations for enhancing professional support systems for the Lawyer in South Korea Seoul, particularly concerning work-life balance and technological adaptation.</w:t>
      </w:r>
    </w:p>
    <w:bookmarkEnd w:id="23"/>
    <w:bookmarkStart w:id="24" w:name="methodology"/>
    <w:p>
      <w:pPr>
        <w:pStyle w:val="Heading2"/>
      </w:pPr>
      <w:r>
        <w:t xml:space="preserve">5. Methodology</w:t>
      </w:r>
    </w:p>
    <w:p>
      <w:pPr>
        <w:pStyle w:val="FirstParagraph"/>
      </w:pPr>
      <w:r>
        <w:t xml:space="preserve">This mixed-methods study will employ: (1) Quantitative analysis of publicly available data from the Supreme Court of South Korea and Seoul Metropolitan Government (including court statistics, lawyer licensure records, and firm registrations); (2) Qualitative in-depth interviews with 35 practicing Lawyers across diverse practice areas (corporate, criminal, IP) at firms ranging from small Seoul-based practices to global law firms' Seoul offices; (3) Participant observation at key events like the Korean Bar Association's annual forum held in Seoul. All data collection will strictly adhere to South Korea's Personal Information Protection Act. The analysis will utilize grounded theory techniques to derive insights specific to the Seoul context, ensuring findings are directly applicable to policymakers and legal institutions within South Korea Seoul.</w:t>
      </w:r>
    </w:p>
    <w:bookmarkEnd w:id="24"/>
    <w:bookmarkStart w:id="25" w:name="significance-of-the-study"/>
    <w:p>
      <w:pPr>
        <w:pStyle w:val="Heading2"/>
      </w:pPr>
      <w:r>
        <w:t xml:space="preserve">6. Significance of the Study</w:t>
      </w:r>
    </w:p>
    <w:p>
      <w:pPr>
        <w:pStyle w:val="FirstParagraph"/>
      </w:pPr>
      <w:r>
        <w:t xml:space="preserve">This Thesis Proposal holds substantial significance for multiple stakeholders in South Korea. For academic communities, it advances comparative legal studies by providing a granular case study of professional evolution in a critical Asian metropolis. For the Korean Bar Association and Seoul Bar Association, findings will directly inform targeted continuing education programs and ethical guidelines tailored to Lawyers operating within Seoul's unique pressures. Crucially for South Korea's national interests, understanding the Lawyer's evolving role in Seoul is vital as the nation pursues its 'Global South Korea' strategy, attracting foreign investment and positioning itself as a legal services hub for Northeast Asia. The research directly supports strategic goals outlined in South Korea's 2030 Legal Innovation Plan. Furthermore, it contributes to global discourse on how metropolitan centers shape legal professions amid globalization.</w:t>
      </w:r>
    </w:p>
    <w:bookmarkEnd w:id="25"/>
    <w:bookmarkStart w:id="26" w:name="expected-contributions"/>
    <w:p>
      <w:pPr>
        <w:pStyle w:val="Heading2"/>
      </w:pPr>
      <w:r>
        <w:t xml:space="preserve">7. Expected Contributions</w:t>
      </w:r>
    </w:p>
    <w:p>
      <w:pPr>
        <w:pStyle w:val="FirstParagraph"/>
      </w:pPr>
      <w:r>
        <w:t xml:space="preserve">This study promises three key contributions: First, a comprehensive empirical portrait of the Lawyer's daily reality in South Korea Seoul, moving beyond national aggregates to reveal urban-specific patterns. Second, a contextualized framework for understanding ethical challenges unique to Seoul's high-stakes legal environment—such as conflicts arising from simultaneous representation of local conglomerates and international clients. Third, practical policy recommendations for reforming legal education curricula (e.g., integrating Seoul-centric case studies on digital evidence handling) and judicial administration (e.g., optimizing court resource allocation in Seoul's busiest districts), directly benefiting the Lawyer community within South Korea Seoul.</w:t>
      </w:r>
    </w:p>
    <w:bookmarkEnd w:id="26"/>
    <w:bookmarkStart w:id="27" w:name="timeline-and-feasibility"/>
    <w:p>
      <w:pPr>
        <w:pStyle w:val="Heading2"/>
      </w:pPr>
      <w:r>
        <w:t xml:space="preserve">8. Timeline and Feasibility</w:t>
      </w:r>
    </w:p>
    <w:p>
      <w:pPr>
        <w:pStyle w:val="FirstParagraph"/>
      </w:pPr>
      <w:r>
        <w:t xml:space="preserve">The proposed research is feasible within a standard 18-month master's thesis timeline. Phase 1 (Literature Review &amp; Data Collection Plan: Months 1-3) will leverage established university partnerships with Seoul Bar Association and Korean judicial archives. Phase 2 (Fieldwork &amp; Interviews: Months 4-10) utilizes Seoul's accessible legal community, with IRB approval secured from [University Name]’s College of Law. Phase 3 (Analysis &amp; Drafting: Months 11-18) aligns with standard thesis writing cycles. All research protocols comply with South Korea’s academic and ethical standards for social science research.</w:t>
      </w:r>
    </w:p>
    <w:bookmarkEnd w:id="27"/>
    <w:bookmarkStart w:id="28" w:name="conclusion"/>
    <w:p>
      <w:pPr>
        <w:pStyle w:val="Heading2"/>
      </w:pPr>
      <w:r>
        <w:t xml:space="preserve">9. Conclusion</w:t>
      </w:r>
    </w:p>
    <w:p>
      <w:pPr>
        <w:pStyle w:val="FirstParagraph"/>
      </w:pPr>
      <w:r>
        <w:t xml:space="preserve">In conclusion, this Thesis Proposal addresses a critical need for nuanced understanding of the Lawyer's evolving professional identity within South Korea Seoul. As Seoul transitions from a predominantly domestic legal market to a global node, its Lawyers serve as pivotal actors navigating complex national and international legal currents. This research will not merely document change but actively contribute to shaping a more resilient, equitable, and effective legal profession for South Korea's most influential urban center. By centering the Lawyer’s experience specifically within Seoul—a city synonymous with South Korea's modernization journey—this Thesis Proposal offers indispensable insights for policymakers, educators, and practitioners alike. It positions the Lawyer as both an agent of change and a key stakeholder in defining South Korea Seoul’s legal future on the world stage.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Dynamics of the Lawyer in Contemporary South Korea Seoul</dc:title>
  <dc:creator/>
  <dc:language>en</dc:language>
  <cp:keywords/>
  <dcterms:created xsi:type="dcterms:W3CDTF">2026-07-23T16:31:43Z</dcterms:created>
  <dcterms:modified xsi:type="dcterms:W3CDTF">2026-07-23T16:31:43Z</dcterms:modified>
</cp:coreProperties>
</file>

<file path=docProps/custom.xml><?xml version="1.0" encoding="utf-8"?>
<Properties xmlns="http://schemas.openxmlformats.org/officeDocument/2006/custom-properties" xmlns:vt="http://schemas.openxmlformats.org/officeDocument/2006/docPropsVTypes"/>
</file>