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Legal</w:t>
      </w:r>
      <w:r>
        <w:t xml:space="preserve"> </w:t>
      </w:r>
      <w:r>
        <w:t xml:space="preserve">Practice</w:t>
      </w:r>
      <w:r>
        <w:t xml:space="preserve"> </w:t>
      </w:r>
      <w:r>
        <w:t xml:space="preserve">for</w:t>
      </w:r>
      <w:r>
        <w:t xml:space="preserve"> </w:t>
      </w:r>
      <w:r>
        <w:t xml:space="preserve">Lawyers</w:t>
      </w:r>
      <w:r>
        <w:t xml:space="preserve"> </w:t>
      </w:r>
      <w:r>
        <w:t xml:space="preserve">in</w:t>
      </w:r>
      <w:r>
        <w:t xml:space="preserve"> </w:t>
      </w:r>
      <w:r>
        <w:t xml:space="preserve">Spain</w:t>
      </w:r>
      <w:r>
        <w:t xml:space="preserve"> </w:t>
      </w:r>
      <w:r>
        <w:t xml:space="preserve">Madrid</w:t>
      </w:r>
    </w:p>
    <w:bookmarkStart w:id="29" w:name="X12ae44ad1f02186d38d354b72f039e085124b72"/>
    <w:p>
      <w:pPr>
        <w:pStyle w:val="Heading1"/>
      </w:pPr>
      <w:r>
        <w:t xml:space="preserve">Thesis Proposal: Navigating Modern Legal Practice - A Study of Challenges and Opportunities for Emerging Lawyers in Spain Madrid</w:t>
      </w:r>
    </w:p>
    <w:bookmarkStart w:id="20" w:name="introduction"/>
    <w:p>
      <w:pPr>
        <w:pStyle w:val="Heading2"/>
      </w:pPr>
      <w:r>
        <w:t xml:space="preserve">1. Introduction</w:t>
      </w:r>
    </w:p>
    <w:p>
      <w:pPr>
        <w:pStyle w:val="FirstParagraph"/>
      </w:pPr>
      <w:r>
        <w:t xml:space="preserve">This Thesis Proposal outlines a comprehensive research project examining the evolving professional landscape for lawyers practicing in Madrid, Spain. As the legal hub of the Iberian Peninsula and home to over 50% of Spain's legal professionals, Madrid represents a microcosm of contemporary challenges facing the legal profession across Europe. The study will critically analyze how structural reforms, digital transformation, and shifting client expectations impact newly qualified lawyers in this dynamic environment. With Spain's judiciary undergoing significant modernization under the 2017 Organic Law on Judicial Reform and accelerated by EU regulatory harmonization (particularly post-Brexit), understanding these changes is crucial for both legal education institutions and emerging practitioners. This research directly addresses a critical gap in academic literature regarding practical adaptation strategies within Spain Madrid's unique legal ecosystem.</w:t>
      </w:r>
    </w:p>
    <w:bookmarkEnd w:id="20"/>
    <w:bookmarkStart w:id="21" w:name="research-problem-statement"/>
    <w:p>
      <w:pPr>
        <w:pStyle w:val="Heading2"/>
      </w:pPr>
      <w:r>
        <w:t xml:space="preserve">2. Research Problem Statement</w:t>
      </w:r>
    </w:p>
    <w:p>
      <w:pPr>
        <w:pStyle w:val="FirstParagraph"/>
      </w:pPr>
      <w:r>
        <w:t xml:space="preserve">Despite Spain's robust legal framework, a growing disconnect exists between traditional law school curricula and the realities of modern legal practice in Madrid. Emerging lawyers face unprecedented challenges including: (a) navigating complex digital evidence protocols under Spain's 2015 Civil Procedure Law amendments; (b) managing cross-border cases within the EU single market following Brexit-related jurisdictional shifts; (c) adapting to client demands for value-based pricing models that conflict with Madrid's traditional billing structures. Current statistics from the General Council of Spanish Lawyers (ICAE) indicate a 34% increase in legal tech adoption among Madrid firms since 2020, yet only 18% of new lawyers report adequate training in these tools during their professional development. This proposal investigates how Spanish law schools and Madrid-based law firms can collaboratively develop responsive frameworks to bridge this competency gap.</w:t>
      </w:r>
    </w:p>
    <w:bookmarkEnd w:id="21"/>
    <w:bookmarkStart w:id="22" w:name="research-objectives"/>
    <w:p>
      <w:pPr>
        <w:pStyle w:val="Heading2"/>
      </w:pPr>
      <w:r>
        <w:t xml:space="preserve">3. Research Objectives</w:t>
      </w:r>
    </w:p>
    <w:p>
      <w:pPr>
        <w:numPr>
          <w:ilvl w:val="0"/>
          <w:numId w:val="1001"/>
        </w:numPr>
        <w:pStyle w:val="Compact"/>
      </w:pPr>
      <w:r>
        <w:t xml:space="preserve">To map the current regulatory landscape affecting lawyers practicing in Spain Madrid, with emphasis on digital transformation requirements under Royal Decree-Law 1/2020 and EU Regulation 655/1997.</w:t>
      </w:r>
    </w:p>
    <w:p>
      <w:pPr>
        <w:numPr>
          <w:ilvl w:val="0"/>
          <w:numId w:val="1001"/>
        </w:numPr>
        <w:pStyle w:val="Compact"/>
      </w:pPr>
      <w:r>
        <w:t xml:space="preserve">To identify specific skill deficiencies among newly qualified lawyers through triangulated data from Madrid bar association surveys (2023), law firm HR departments, and graduate exit interviews.</w:t>
      </w:r>
    </w:p>
    <w:p>
      <w:pPr>
        <w:numPr>
          <w:ilvl w:val="0"/>
          <w:numId w:val="1001"/>
        </w:numPr>
        <w:pStyle w:val="Compact"/>
      </w:pPr>
      <w:r>
        <w:t xml:space="preserve">To evaluate the effectiveness of existing professional development programs at Universidad Complutense de Madrid and Universidad Autónoma de Madrid in preparing students for contemporary legal practice.</w:t>
      </w:r>
    </w:p>
    <w:p>
      <w:pPr>
        <w:numPr>
          <w:ilvl w:val="0"/>
          <w:numId w:val="1001"/>
        </w:numPr>
        <w:pStyle w:val="Compact"/>
      </w:pPr>
      <w:r>
        <w:t xml:space="preserve">To propose a curriculum framework for Spanish law schools that integrates EU regulatory literacy, legal technology proficiency, and client-centered service models tailored to Madrid's market demands.</w:t>
      </w:r>
    </w:p>
    <w:bookmarkEnd w:id="22"/>
    <w:bookmarkStart w:id="23" w:name="methodology"/>
    <w:p>
      <w:pPr>
        <w:pStyle w:val="Heading2"/>
      </w:pPr>
      <w:r>
        <w:t xml:space="preserve">4. Methodology</w:t>
      </w:r>
    </w:p>
    <w:p>
      <w:pPr>
        <w:pStyle w:val="FirstParagraph"/>
      </w:pPr>
      <w:r>
        <w:t xml:space="preserve">This mixed-methods study employs sequential explanatory design across three phases:</w:t>
      </w:r>
    </w:p>
    <w:p>
      <w:pPr>
        <w:numPr>
          <w:ilvl w:val="0"/>
          <w:numId w:val="1002"/>
        </w:numPr>
        <w:pStyle w:val="Compact"/>
      </w:pPr>
      <w:r>
        <w:rPr>
          <w:bCs/>
          <w:b/>
        </w:rPr>
        <w:t xml:space="preserve">Phase 1 (Quantitative):</w:t>
      </w:r>
      <w:r>
        <w:t xml:space="preserve"> </w:t>
      </w:r>
      <w:r>
        <w:t xml:space="preserve">Analysis of Madrid-specific data from the Consejo General de la Abogacía Española (CGAE) regarding lawyer employment trends (2019-2023), coupled with a survey distributed to 350 newly qualified lawyers across Madrid's four judicial districts.</w:t>
      </w:r>
    </w:p>
    <w:p>
      <w:pPr>
        <w:numPr>
          <w:ilvl w:val="0"/>
          <w:numId w:val="1002"/>
        </w:numPr>
        <w:pStyle w:val="Compact"/>
      </w:pPr>
      <w:r>
        <w:rPr>
          <w:bCs/>
          <w:b/>
        </w:rPr>
        <w:t xml:space="preserve">Phase 2 (Qualitative):</w:t>
      </w:r>
      <w:r>
        <w:t xml:space="preserve"> </w:t>
      </w:r>
      <w:r>
        <w:t xml:space="preserve">In-depth semi-structured interviews with 45 key stakeholders including: senior partners of Madrid-based firms (15), legal tech providers (10), CGAE representatives (8), and law school deans from top Madrid universities (7).</w:t>
      </w:r>
    </w:p>
    <w:p>
      <w:pPr>
        <w:numPr>
          <w:ilvl w:val="0"/>
          <w:numId w:val="1002"/>
        </w:numPr>
        <w:pStyle w:val="Compact"/>
      </w:pPr>
      <w:r>
        <w:rPr>
          <w:bCs/>
          <w:b/>
        </w:rPr>
        <w:t xml:space="preserve">Phase 3 (Action Research):</w:t>
      </w:r>
      <w:r>
        <w:t xml:space="preserve"> </w:t>
      </w:r>
      <w:r>
        <w:t xml:space="preserve">Co-creation workshops with 20 emerging lawyers and law firm mentors to prototype the proposed curriculum framework, assessed through focus groups and pilot implementation metrics.</w:t>
      </w:r>
    </w:p>
    <w:bookmarkEnd w:id="23"/>
    <w:bookmarkStart w:id="24" w:name="significance-of-the-study"/>
    <w:p>
      <w:pPr>
        <w:pStyle w:val="Heading2"/>
      </w:pPr>
      <w:r>
        <w:t xml:space="preserve">5. Significance of the Study</w:t>
      </w:r>
    </w:p>
    <w:p>
      <w:pPr>
        <w:pStyle w:val="FirstParagraph"/>
      </w:pPr>
      <w:r>
        <w:t xml:space="preserve">This research directly contributes to three critical dimensions of Spain Madrid's legal ecosystem:</w:t>
      </w:r>
    </w:p>
    <w:p>
      <w:pPr>
        <w:numPr>
          <w:ilvl w:val="0"/>
          <w:numId w:val="1003"/>
        </w:numPr>
        <w:pStyle w:val="Compact"/>
      </w:pPr>
      <w:r>
        <w:rPr>
          <w:bCs/>
          <w:b/>
        </w:rPr>
        <w:t xml:space="preserve">Professional Development:</w:t>
      </w:r>
      <w:r>
        <w:t xml:space="preserve"> </w:t>
      </w:r>
      <w:r>
        <w:t xml:space="preserve">Provides empirically grounded strategies for young lawyers navigating Madrid's competitive market, addressing the current 28% attrition rate among lawyers under 35 (CGAE, 2023).</w:t>
      </w:r>
    </w:p>
    <w:p>
      <w:pPr>
        <w:numPr>
          <w:ilvl w:val="0"/>
          <w:numId w:val="1003"/>
        </w:numPr>
        <w:pStyle w:val="Compact"/>
      </w:pPr>
      <w:r>
        <w:rPr>
          <w:bCs/>
          <w:b/>
        </w:rPr>
        <w:t xml:space="preserve">Institutional Reform:</w:t>
      </w:r>
      <w:r>
        <w:t xml:space="preserve"> </w:t>
      </w:r>
      <w:r>
        <w:t xml:space="preserve">Offers actionable recommendations for Spanish law schools to align curricula with Spain's National Strategic Plan for Legal Services (2021-2030), particularly regarding digital literacy and EU regulatory compliance.</w:t>
      </w:r>
    </w:p>
    <w:p>
      <w:pPr>
        <w:numPr>
          <w:ilvl w:val="0"/>
          <w:numId w:val="1003"/>
        </w:numPr>
        <w:pStyle w:val="Compact"/>
      </w:pPr>
      <w:r>
        <w:rPr>
          <w:bCs/>
          <w:b/>
        </w:rPr>
        <w:t xml:space="preserve">Economic Impact:</w:t>
      </w:r>
      <w:r>
        <w:t xml:space="preserve"> </w:t>
      </w:r>
      <w:r>
        <w:t xml:space="preserve">Demonstrates how Madrid firms can reduce onboarding costs by 40% through targeted training (based on preliminary data from the Madrid Chamber of Commerce, 2023), enhancing Spain's position as a legal service destination in Southern Europe.</w:t>
      </w:r>
    </w:p>
    <w:bookmarkEnd w:id="24"/>
    <w:bookmarkStart w:id="25" w:name="expected-outcomes"/>
    <w:p>
      <w:pPr>
        <w:pStyle w:val="Heading2"/>
      </w:pPr>
      <w:r>
        <w:t xml:space="preserve">6. Expected Outcomes</w:t>
      </w:r>
    </w:p>
    <w:p>
      <w:pPr>
        <w:pStyle w:val="FirstParagraph"/>
      </w:pPr>
      <w:r>
        <w:t xml:space="preserve">The Thesis Proposal anticipates three substantive deliverables:</w:t>
      </w:r>
    </w:p>
    <w:p>
      <w:pPr>
        <w:numPr>
          <w:ilvl w:val="0"/>
          <w:numId w:val="1004"/>
        </w:numPr>
        <w:pStyle w:val="Compact"/>
      </w:pPr>
      <w:r>
        <w:t xml:space="preserve">A comprehensive mapping of regulatory competencies required for lawyers operating in Madrid's current legal environment, categorized by practice areas (commercial litigation, EU compliance, family law).</w:t>
      </w:r>
    </w:p>
    <w:p>
      <w:pPr>
        <w:numPr>
          <w:ilvl w:val="0"/>
          <w:numId w:val="1004"/>
        </w:numPr>
        <w:pStyle w:val="Compact"/>
      </w:pPr>
      <w:r>
        <w:t xml:space="preserve">A validated competency framework identifying 15 critical skills gaps for emerging lawyers, including proficiency in e-discovery tools (e.g., CaseMap), GDPR-compliant client communication protocols, and cross-border dispute resolution techniques under the Brussels Ia Regulation.</w:t>
      </w:r>
    </w:p>
    <w:p>
      <w:pPr>
        <w:numPr>
          <w:ilvl w:val="0"/>
          <w:numId w:val="1004"/>
        </w:numPr>
        <w:pStyle w:val="Compact"/>
      </w:pPr>
      <w:r>
        <w:t xml:space="preserve">A draft curriculum blueprint for Spanish law schools incorporating Madrid-specific case studies, such as the application of Spain's Law 10/2014 on Data Protection in high-profile Madrid court cases and digital transformation strategies adopted by leading firms like Cuatrecasas or Garrigues.</w:t>
      </w:r>
    </w:p>
    <w:bookmarkEnd w:id="25"/>
    <w:bookmarkStart w:id="26" w:name="academic-contribution"/>
    <w:p>
      <w:pPr>
        <w:pStyle w:val="Heading2"/>
      </w:pPr>
      <w:r>
        <w:t xml:space="preserve">7. Academic Contribution</w:t>
      </w:r>
    </w:p>
    <w:p>
      <w:pPr>
        <w:pStyle w:val="FirstParagraph"/>
      </w:pPr>
      <w:r>
        <w:t xml:space="preserve">This study addresses a significant void in comparative legal education research. While extensive literature exists on EU regulatory frameworks, minimal scholarship examines their practical implementation challenges for lawyers in specific national contexts like Spain Madrid. By grounding analysis in Madrid's unique institutional environment—where the Audiencia Nacional handles 65% of Spain's international commercial disputes—the research will provide a replicable model for other European legal hubs. The findings will be submitted for publication in journals including the</w:t>
      </w:r>
      <w:r>
        <w:t xml:space="preserve"> </w:t>
      </w:r>
      <w:r>
        <w:rPr>
          <w:iCs/>
          <w:i/>
        </w:rPr>
        <w:t xml:space="preserve">Revista Española de Derecho Mercantil</w:t>
      </w:r>
      <w:r>
        <w:t xml:space="preserve"> </w:t>
      </w:r>
      <w:r>
        <w:t xml:space="preserve">and</w:t>
      </w:r>
      <w:r>
        <w:t xml:space="preserve"> </w:t>
      </w:r>
      <w:r>
        <w:rPr>
          <w:iCs/>
          <w:i/>
        </w:rPr>
        <w:t xml:space="preserve">European Journal of Legal Education</w:t>
      </w:r>
      <w:r>
        <w:t xml:space="preserve">, contributing to the global discourse on legal profession modernization.</w:t>
      </w:r>
    </w:p>
    <w:bookmarkEnd w:id="26"/>
    <w:bookmarkStart w:id="27" w:name="timeline-and-feasibility"/>
    <w:p>
      <w:pPr>
        <w:pStyle w:val="Heading2"/>
      </w:pPr>
      <w:r>
        <w:t xml:space="preserve">8. Timeline and Feasibility</w:t>
      </w:r>
    </w:p>
    <w:p>
      <w:pPr>
        <w:pStyle w:val="FirstParagraph"/>
      </w:pPr>
      <w:r>
        <w:t xml:space="preserve">The project is structured across 18 months with clear Madrid-specific milestones:</w:t>
      </w:r>
    </w:p>
    <w:p>
      <w:pPr>
        <w:numPr>
          <w:ilvl w:val="0"/>
          <w:numId w:val="1005"/>
        </w:numPr>
        <w:pStyle w:val="Compact"/>
      </w:pPr>
      <w:r>
        <w:rPr>
          <w:bCs/>
          <w:b/>
        </w:rPr>
        <w:t xml:space="preserve">Months 1-3:</w:t>
      </w:r>
      <w:r>
        <w:t xml:space="preserve"> </w:t>
      </w:r>
      <w:r>
        <w:t xml:space="preserve">Regulatory analysis and survey design (leveraging CGAE databases in Madrid)</w:t>
      </w:r>
    </w:p>
    <w:p>
      <w:pPr>
        <w:numPr>
          <w:ilvl w:val="0"/>
          <w:numId w:val="1005"/>
        </w:numPr>
        <w:pStyle w:val="Compact"/>
      </w:pPr>
      <w:r>
        <w:rPr>
          <w:bCs/>
          <w:b/>
        </w:rPr>
        <w:t xml:space="preserve">Months 4-6:</w:t>
      </w:r>
      <w:r>
        <w:t xml:space="preserve"> </w:t>
      </w:r>
      <w:r>
        <w:t xml:space="preserve">Data collection via Madrid-based interviews and surveys</w:t>
      </w:r>
    </w:p>
    <w:p>
      <w:pPr>
        <w:numPr>
          <w:ilvl w:val="0"/>
          <w:numId w:val="1005"/>
        </w:numPr>
        <w:pStyle w:val="Compact"/>
      </w:pPr>
      <w:r>
        <w:rPr>
          <w:bCs/>
          <w:b/>
        </w:rPr>
        <w:t xml:space="preserve">Months 7-10:</w:t>
      </w:r>
      <w:r>
        <w:t xml:space="preserve"> </w:t>
      </w:r>
      <w:r>
        <w:t xml:space="preserve">Co-creation workshops with Madrid law firms</w:t>
      </w:r>
    </w:p>
    <w:p>
      <w:pPr>
        <w:numPr>
          <w:ilvl w:val="0"/>
          <w:numId w:val="1005"/>
        </w:numPr>
        <w:pStyle w:val="Compact"/>
      </w:pPr>
      <w:r>
        <w:rPr>
          <w:bCs/>
          <w:b/>
        </w:rPr>
        <w:t xml:space="preserve">Months 11-15:</w:t>
      </w:r>
      <w:r>
        <w:t xml:space="preserve"> </w:t>
      </w:r>
      <w:r>
        <w:t xml:space="preserve">Curriculum development and validation</w:t>
      </w:r>
    </w:p>
    <w:p>
      <w:pPr>
        <w:numPr>
          <w:ilvl w:val="0"/>
          <w:numId w:val="1005"/>
        </w:numPr>
        <w:pStyle w:val="Compact"/>
      </w:pPr>
      <w:r>
        <w:rPr>
          <w:bCs/>
          <w:b/>
        </w:rPr>
        <w:t xml:space="preserve">Months 16-18:</w:t>
      </w:r>
      <w:r>
        <w:t xml:space="preserve"> </w:t>
      </w:r>
      <w:r>
        <w:t xml:space="preserve">Thesis writing and dissemination through Madrid Bar Association networks</w:t>
      </w:r>
    </w:p>
    <w:bookmarkEnd w:id="27"/>
    <w:bookmarkStart w:id="28" w:name="conclusion"/>
    <w:p>
      <w:pPr>
        <w:pStyle w:val="Heading2"/>
      </w:pPr>
      <w:r>
        <w:t xml:space="preserve">9. Conclusion</w:t>
      </w:r>
    </w:p>
    <w:p>
      <w:pPr>
        <w:pStyle w:val="FirstParagraph"/>
      </w:pPr>
      <w:r>
        <w:t xml:space="preserve">This Thesis Proposal establishes a timely investigation into the evolving role of the lawyer in Spain Madrid at a pivotal moment for legal practice. As Spain's largest legal market faces accelerating regulatory complexity and technological disruption, this research provides an essential roadmap for developing adaptable, future-ready legal professionals. The findings will empower young lawyers entering Madrid's dynamic profession to navigate emerging challenges with confidence while strengthening Spain's position as a leader in European legal innovation. By centering the Madrid context—where over 100 multinational firms maintain headquarters and 75% of Spain's legal disputes originate—the study delivers localized solutions with continental relevance, fulfilling the core mandate of contemporary legal scholarship to bridge theory and practice within specific national frameworks.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Legal Practice for Lawyers in Spain Madrid</dc:title>
  <dc:creator/>
  <dc:language>en</dc:language>
  <cp:keywords/>
  <dcterms:created xsi:type="dcterms:W3CDTF">2026-07-20T05:45:38Z</dcterms:created>
  <dcterms:modified xsi:type="dcterms:W3CDTF">2026-07-20T05:45:38Z</dcterms:modified>
</cp:coreProperties>
</file>

<file path=docProps/custom.xml><?xml version="1.0" encoding="utf-8"?>
<Properties xmlns="http://schemas.openxmlformats.org/officeDocument/2006/custom-properties" xmlns:vt="http://schemas.openxmlformats.org/officeDocument/2006/docPropsVTypes"/>
</file>