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Legal</w:t>
      </w:r>
      <w:r>
        <w:t xml:space="preserve"> </w:t>
      </w:r>
      <w:r>
        <w:t xml:space="preserve">Practice</w:t>
      </w:r>
      <w:r>
        <w:t xml:space="preserve"> </w:t>
      </w:r>
      <w:r>
        <w:t xml:space="preserve">and</w:t>
      </w:r>
      <w:r>
        <w:t xml:space="preserve"> </w:t>
      </w:r>
      <w:r>
        <w:t xml:space="preserve">Challenges</w:t>
      </w:r>
      <w:r>
        <w:t xml:space="preserve"> </w:t>
      </w:r>
      <w:r>
        <w:t xml:space="preserve">of</w:t>
      </w:r>
      <w:r>
        <w:t xml:space="preserve"> </w:t>
      </w:r>
      <w:r>
        <w:t xml:space="preserve">Lawyers</w:t>
      </w:r>
      <w:r>
        <w:t xml:space="preserve"> </w:t>
      </w:r>
      <w:r>
        <w:t xml:space="preserve">in</w:t>
      </w:r>
      <w:r>
        <w:t xml:space="preserve"> </w:t>
      </w:r>
      <w:r>
        <w:t xml:space="preserve">Turkey</w:t>
      </w:r>
      <w:r>
        <w:t xml:space="preserve"> </w:t>
      </w:r>
      <w:r>
        <w:t xml:space="preserve">Ankara</w:t>
      </w:r>
    </w:p>
    <w:bookmarkStart w:id="28" w:name="X8dd93247c787f3a313e76759a922ef4b889abf3"/>
    <w:p>
      <w:pPr>
        <w:pStyle w:val="Heading1"/>
      </w:pPr>
      <w:r>
        <w:t xml:space="preserve">Thesis Proposal: Contemporary Legal Practice and Challenges of Lawyers in Turkey Ankara</w:t>
      </w:r>
    </w:p>
    <w:bookmarkStart w:id="20" w:name="introduction-and-research-context"/>
    <w:p>
      <w:pPr>
        <w:pStyle w:val="Heading2"/>
      </w:pPr>
      <w:r>
        <w:t xml:space="preserve">Introduction and Research Context</w:t>
      </w:r>
    </w:p>
    <w:p>
      <w:pPr>
        <w:pStyle w:val="FirstParagraph"/>
      </w:pPr>
      <w:r>
        <w:t xml:space="preserve">This thesis proposal addresses the critical examination of legal practice, professional challenges, and systemic dynamics confronting the modern</w:t>
      </w:r>
      <w:r>
        <w:t xml:space="preserve"> </w:t>
      </w:r>
      <w:r>
        <w:rPr>
          <w:bCs/>
          <w:b/>
        </w:rPr>
        <w:t xml:space="preserve">Lawyer</w:t>
      </w:r>
      <w:r>
        <w:t xml:space="preserve"> </w:t>
      </w:r>
      <w:r>
        <w:t xml:space="preserve">within the specific socio-legal environment of</w:t>
      </w:r>
      <w:r>
        <w:t xml:space="preserve"> </w:t>
      </w:r>
      <w:r>
        <w:rPr>
          <w:bCs/>
          <w:b/>
        </w:rPr>
        <w:t xml:space="preserve">Turkey Ankara</w:t>
      </w:r>
      <w:r>
        <w:t xml:space="preserve">. As the capital city of Turkey and a major administrative, judicial, and educational hub, Ankara presents a unique microcosm for analyzing how legal professionals navigate complex institutional frameworks, evolving legislation, and societal expectations. The significance of this research stems from Ankara's role as the center of national policymaking; its courts handle pivotal cases impacting the entire country; and its bar associations represent a significant portion of Turkey's legal workforce. This study directly responds to urgent gaps in understanding how</w:t>
      </w:r>
      <w:r>
        <w:t xml:space="preserve"> </w:t>
      </w:r>
      <w:r>
        <w:rPr>
          <w:bCs/>
          <w:b/>
        </w:rPr>
        <w:t xml:space="preserve">Lawyer</w:t>
      </w:r>
      <w:r>
        <w:t xml:space="preserve"> </w:t>
      </w:r>
      <w:r>
        <w:t xml:space="preserve">practitioners adapt within Ankara's distinct urban, bureaucratic, and judicial landscape, making it a vital contribution to legal scholarship in contemporary</w:t>
      </w:r>
      <w:r>
        <w:t xml:space="preserve"> </w:t>
      </w:r>
      <w:r>
        <w:rPr>
          <w:bCs/>
          <w:b/>
        </w:rPr>
        <w:t xml:space="preserve">Turkey Ankara</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Turkey's ongoing legal reforms since the 1980s and significant modernization efforts within its judiciary, scholarly attention has predominantly focused on Istanbul as the primary economic and legal center. The specific professional experiences, challenges, opportunities, and evolving ethical considerations of lawyers practicing in Ankara—a city housing the Supreme Court of Appeals (Danıştay), Constitutional Court (Anayasa Mahkemesi), Ministry of Justice headquarters, and numerous specialized courts—remain critically under-researched. Existing studies often generalize about Turkey's legal sector without adequately distinguishing the capital's unique pressures: intense governmental oversight, high-volume caseloads involving state entities, distinct client demographics (including government officials, NGOs, and international organizations based in Ankara), and the specific administrative culture of public service. This thesis aims to fill this significant gap by centering</w:t>
      </w:r>
      <w:r>
        <w:t xml:space="preserve"> </w:t>
      </w:r>
      <w:r>
        <w:rPr>
          <w:bCs/>
          <w:b/>
        </w:rPr>
        <w:t xml:space="preserve">Turkey Ankara</w:t>
      </w:r>
      <w:r>
        <w:t xml:space="preserve"> </w:t>
      </w:r>
      <w:r>
        <w:t xml:space="preserve">as the essential geographic and institutional context for examining the contemporary</w:t>
      </w:r>
      <w:r>
        <w:t xml:space="preserve"> </w:t>
      </w:r>
      <w:r>
        <w:rPr>
          <w:bCs/>
          <w:b/>
        </w:rPr>
        <w:t xml:space="preserve">Lawyer</w:t>
      </w:r>
      <w:r>
        <w:t xml:space="preserve">'s role.</w:t>
      </w:r>
    </w:p>
    <w:bookmarkEnd w:id="21"/>
    <w:bookmarkStart w:id="22" w:name="research-objectives"/>
    <w:p>
      <w:pPr>
        <w:pStyle w:val="Heading2"/>
      </w:pPr>
      <w:r>
        <w:t xml:space="preserve">Research Objectives</w:t>
      </w:r>
    </w:p>
    <w:p>
      <w:pPr>
        <w:numPr>
          <w:ilvl w:val="0"/>
          <w:numId w:val="1001"/>
        </w:numPr>
        <w:pStyle w:val="Compact"/>
      </w:pPr>
      <w:r>
        <w:t xml:space="preserve">To analyze the evolving professional identity, ethical dilemmas, and daily operational challenges faced by practicing lawyers within Ankara's court system and private bar associations.</w:t>
      </w:r>
    </w:p>
    <w:p>
      <w:pPr>
        <w:numPr>
          <w:ilvl w:val="0"/>
          <w:numId w:val="1001"/>
        </w:numPr>
        <w:pStyle w:val="Compact"/>
      </w:pPr>
      <w:r>
        <w:t xml:space="preserve">To assess the impact of recent legal reforms (e.g., changes to criminal procedure, evidence law) specifically on caseload management and client representation within Ankara's judicial districts.</w:t>
      </w:r>
    </w:p>
    <w:p>
      <w:pPr>
        <w:numPr>
          <w:ilvl w:val="0"/>
          <w:numId w:val="1001"/>
        </w:numPr>
        <w:pStyle w:val="Compact"/>
      </w:pPr>
      <w:r>
        <w:t xml:space="preserve">To investigate the digital transformation initiatives (e.g., e-filing systems, virtual hearings) implemented by the Ankara Bar Association and courts, evaluating their effectiveness in improving access to justice for clients of lawyers in Ankara.</w:t>
      </w:r>
    </w:p>
    <w:p>
      <w:pPr>
        <w:numPr>
          <w:ilvl w:val="0"/>
          <w:numId w:val="1001"/>
        </w:numPr>
        <w:pStyle w:val="Compact"/>
      </w:pPr>
      <w:r>
        <w:t xml:space="preserve">To explore the relationship between lawyers practicing in Ankara and key state institutions (Ministry of Justice, Public Prosecutor's Offices), focusing on collaboration versus conflict dynamics.</w:t>
      </w:r>
    </w:p>
    <w:p>
      <w:pPr>
        <w:numPr>
          <w:ilvl w:val="0"/>
          <w:numId w:val="1001"/>
        </w:numPr>
        <w:pStyle w:val="Compact"/>
      </w:pPr>
      <w:r>
        <w:t xml:space="preserve">To identify systemic barriers (bureaucratic, financial, resource-based) hindering effective legal representation for diverse client groups within the Ankara jurisdiction.</w:t>
      </w:r>
    </w:p>
    <w:bookmarkEnd w:id="22"/>
    <w:bookmarkStart w:id="23" w:name="literature-review"/>
    <w:p>
      <w:pPr>
        <w:pStyle w:val="Heading2"/>
      </w:pPr>
      <w:r>
        <w:t xml:space="preserve">Literature Review</w:t>
      </w:r>
    </w:p>
    <w:p>
      <w:pPr>
        <w:pStyle w:val="FirstParagraph"/>
      </w:pPr>
      <w:r>
        <w:t xml:space="preserve">Current literature on Turkish law often lacks nuanced urban or regional specificity. Works by scholars like Erdem (2019) discuss broad judicial reforms, while studies by Öztürk (2021) touch upon lawyer ethics but primarily reference Istanbul. Research specifically focusing on Ankara's legal ecosystem is sparse and fragmented, often appearing in localized reports from the Ankara Bar Association or municipal studies. This thesis will critically engage with these sources while prioritizing primary data collection within Ankara itself, moving beyond descriptive accounts to analyze how structural factors uniquely shape the</w:t>
      </w:r>
      <w:r>
        <w:t xml:space="preserve"> </w:t>
      </w:r>
      <w:r>
        <w:rPr>
          <w:bCs/>
          <w:b/>
        </w:rPr>
        <w:t xml:space="preserve">Lawyer</w:t>
      </w:r>
      <w:r>
        <w:t xml:space="preserve">'s practice in Turkey's capital. It will also incorporate comparative insights from legal scholarship on public service lawyers in other capital cities (e.g., Paris, Berlin) to contextualize Ankara's experience within broader global trends of state-centered legal hubs.</w:t>
      </w:r>
    </w:p>
    <w:bookmarkEnd w:id="23"/>
    <w:bookmarkStart w:id="24" w:name="methodology"/>
    <w:p>
      <w:pPr>
        <w:pStyle w:val="Heading2"/>
      </w:pPr>
      <w:r>
        <w:t xml:space="preserve">Methodology</w:t>
      </w:r>
    </w:p>
    <w:p>
      <w:pPr>
        <w:pStyle w:val="FirstParagraph"/>
      </w:pPr>
      <w:r>
        <w:t xml:space="preserve">This research employs a mixed-methods approach tailored to the Ankara context:</w:t>
      </w:r>
    </w:p>
    <w:p>
      <w:pPr>
        <w:numPr>
          <w:ilvl w:val="0"/>
          <w:numId w:val="1002"/>
        </w:numPr>
        <w:pStyle w:val="Compact"/>
      </w:pPr>
      <w:r>
        <w:rPr>
          <w:bCs/>
          <w:b/>
        </w:rPr>
        <w:t xml:space="preserve">Qualitative Case Studies:</w:t>
      </w:r>
      <w:r>
        <w:t xml:space="preserve"> </w:t>
      </w:r>
      <w:r>
        <w:t xml:space="preserve">In-depth interviews (n=30) with practicing lawyers from diverse practice areas (criminal, civil, administrative, corporate) across different age groups and bar association branches within Ankara.</w:t>
      </w:r>
    </w:p>
    <w:p>
      <w:pPr>
        <w:numPr>
          <w:ilvl w:val="0"/>
          <w:numId w:val="1002"/>
        </w:numPr>
        <w:pStyle w:val="Compact"/>
      </w:pPr>
      <w:r>
        <w:rPr>
          <w:bCs/>
          <w:b/>
        </w:rPr>
        <w:t xml:space="preserve">Semi-Structured Focus Groups:</w:t>
      </w:r>
      <w:r>
        <w:t xml:space="preserve"> </w:t>
      </w:r>
      <w:r>
        <w:t xml:space="preserve">4 focus groups with representatives of the Ankara Bar Association Executive Board to discuss systemic issues and proposed solutions.</w:t>
      </w:r>
    </w:p>
    <w:p>
      <w:pPr>
        <w:numPr>
          <w:ilvl w:val="0"/>
          <w:numId w:val="1002"/>
        </w:numPr>
        <w:pStyle w:val="Compact"/>
      </w:pPr>
      <w:r>
        <w:rPr>
          <w:bCs/>
          <w:b/>
        </w:rPr>
        <w:t xml:space="preserve">Document Analysis:</w:t>
      </w:r>
      <w:r>
        <w:t xml:space="preserve"> </w:t>
      </w:r>
      <w:r>
        <w:t xml:space="preserve">Review of anonymized case files (with institutional permission), court statistics from Ankara courts, and policy documents from the Ministry of Justice relevant to legal practice in Ankara.</w:t>
      </w:r>
    </w:p>
    <w:p>
      <w:pPr>
        <w:numPr>
          <w:ilvl w:val="0"/>
          <w:numId w:val="1002"/>
        </w:numPr>
        <w:pStyle w:val="Compact"/>
      </w:pPr>
      <w:r>
        <w:rPr>
          <w:bCs/>
          <w:b/>
        </w:rPr>
        <w:t xml:space="preserve">Digital Footprint Analysis:</w:t>
      </w:r>
      <w:r>
        <w:t xml:space="preserve"> </w:t>
      </w:r>
      <w:r>
        <w:t xml:space="preserve">Examination of usage patterns and feedback on the e-Justice system within Ankara's courts over a 12-month period (2023-2024).</w:t>
      </w:r>
    </w:p>
    <w:p>
      <w:pPr>
        <w:pStyle w:val="FirstParagraph"/>
      </w:pPr>
      <w:r>
        <w:t xml:space="preserve">Data collection will be conducted ethically, with full confidentiality assured for participants. The methodology is designed to capture the lived experience of the</w:t>
      </w:r>
      <w:r>
        <w:t xml:space="preserve"> </w:t>
      </w:r>
      <w:r>
        <w:rPr>
          <w:bCs/>
          <w:b/>
        </w:rPr>
        <w:t xml:space="preserve">Lawyer</w:t>
      </w:r>
      <w:r>
        <w:t xml:space="preserve"> </w:t>
      </w:r>
      <w:r>
        <w:t xml:space="preserve">within</w:t>
      </w:r>
      <w:r>
        <w:t xml:space="preserve"> </w:t>
      </w:r>
      <w:r>
        <w:rPr>
          <w:bCs/>
          <w:b/>
        </w:rPr>
        <w:t xml:space="preserve">Turkey Ankara</w:t>
      </w:r>
      <w:r>
        <w:t xml:space="preserve">, ensuring findings are grounded in local realities.</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practical, academic, and policy relevance for both Turkey and comparative legal studies. Academically, it provides the first comprehensive study of legal practice specifically centered on Ankara, enriching the understanding of how capital cities function as unique nodes within national legal systems. For practitioners in</w:t>
      </w:r>
      <w:r>
        <w:t xml:space="preserve"> </w:t>
      </w:r>
      <w:r>
        <w:rPr>
          <w:bCs/>
          <w:b/>
        </w:rPr>
        <w:t xml:space="preserve">Turkey Ankara</w:t>
      </w:r>
      <w:r>
        <w:t xml:space="preserve">, findings will offer concrete insights into navigating systemic challenges and leveraging emerging opportunities (e.g., digital tools). For policymakers at the Ministry of Justice and Ankara Bar Association, this research provides actionable evidence to inform reforms aimed at improving legal service quality, efficiency, and accessibility specifically within the capital region. The proposed study directly addresses the needs of</w:t>
      </w:r>
      <w:r>
        <w:t xml:space="preserve"> </w:t>
      </w:r>
      <w:r>
        <w:rPr>
          <w:bCs/>
          <w:b/>
        </w:rPr>
        <w:t xml:space="preserve">Lawyer</w:t>
      </w:r>
      <w:r>
        <w:t xml:space="preserve"> </w:t>
      </w:r>
      <w:r>
        <w:t xml:space="preserve">professionals in</w:t>
      </w:r>
      <w:r>
        <w:t xml:space="preserve"> </w:t>
      </w:r>
      <w:r>
        <w:rPr>
          <w:bCs/>
          <w:b/>
        </w:rPr>
        <w:t xml:space="preserve">Turkey Ankara</w:t>
      </w:r>
      <w:r>
        <w:t xml:space="preserve">, contributing to a more robust and responsive legal profession at the heart of Turkey's governance.</w:t>
      </w:r>
    </w:p>
    <w:bookmarkEnd w:id="25"/>
    <w:bookmarkStart w:id="26" w:name="timeline-and-work-plan"/>
    <w:p>
      <w:pPr>
        <w:pStyle w:val="Heading2"/>
      </w:pPr>
      <w:r>
        <w:t xml:space="preserve">Timeline and Work Plan</w:t>
      </w:r>
    </w:p>
    <w:p>
      <w:pPr>
        <w:pStyle w:val="FirstParagraph"/>
      </w:pPr>
      <w:r>
        <w:t xml:space="preserve">The research will be completed within 18 months (September 2024 - December 2025), structured as follows:</w:t>
      </w:r>
    </w:p>
    <w:p>
      <w:pPr>
        <w:numPr>
          <w:ilvl w:val="0"/>
          <w:numId w:val="1003"/>
        </w:numPr>
        <w:pStyle w:val="Compact"/>
      </w:pPr>
      <w:r>
        <w:rPr>
          <w:bCs/>
          <w:b/>
        </w:rPr>
        <w:t xml:space="preserve">Months 1-3:</w:t>
      </w:r>
      <w:r>
        <w:t xml:space="preserve"> </w:t>
      </w:r>
      <w:r>
        <w:t xml:space="preserve">Finalize ethics approval, develop detailed interview/focus group protocols, secure institutional partnerships with Ankara Bar Association and relevant courts.</w:t>
      </w:r>
    </w:p>
    <w:p>
      <w:pPr>
        <w:numPr>
          <w:ilvl w:val="0"/>
          <w:numId w:val="1003"/>
        </w:numPr>
        <w:pStyle w:val="Compact"/>
      </w:pPr>
      <w:r>
        <w:rPr>
          <w:bCs/>
          <w:b/>
        </w:rPr>
        <w:t xml:space="preserve">Months 4-9:</w:t>
      </w:r>
      <w:r>
        <w:t xml:space="preserve"> </w:t>
      </w:r>
      <w:r>
        <w:t xml:space="preserve">Conduct all qualitative data collection (interviews, focus groups) and begin document analysis in Ankara.</w:t>
      </w:r>
    </w:p>
    <w:p>
      <w:pPr>
        <w:numPr>
          <w:ilvl w:val="0"/>
          <w:numId w:val="1003"/>
        </w:numPr>
        <w:pStyle w:val="Compact"/>
      </w:pPr>
      <w:r>
        <w:rPr>
          <w:bCs/>
          <w:b/>
        </w:rPr>
        <w:t xml:space="preserve">Months 10-14:</w:t>
      </w:r>
      <w:r>
        <w:t xml:space="preserve"> </w:t>
      </w:r>
      <w:r>
        <w:t xml:space="preserve">Comprehensive data analysis, thematic coding, drafting of key findings chapters.</w:t>
      </w:r>
    </w:p>
    <w:p>
      <w:pPr>
        <w:numPr>
          <w:ilvl w:val="0"/>
          <w:numId w:val="1003"/>
        </w:numPr>
        <w:pStyle w:val="Compact"/>
      </w:pPr>
      <w:r>
        <w:rPr>
          <w:bCs/>
          <w:b/>
        </w:rPr>
        <w:t xml:space="preserve">Months 15-18:</w:t>
      </w:r>
      <w:r>
        <w:t xml:space="preserve"> </w:t>
      </w:r>
      <w:r>
        <w:t xml:space="preserve">Final writing, incorporation of feedback from supervisors and stakeholders (Ankara Bar Association representatives), thesis finalization and submission.</w:t>
      </w:r>
    </w:p>
    <w:bookmarkEnd w:id="26"/>
    <w:bookmarkStart w:id="27" w:name="conclusion"/>
    <w:p>
      <w:pPr>
        <w:pStyle w:val="Heading2"/>
      </w:pPr>
      <w:r>
        <w:t xml:space="preserve">Conclusion</w:t>
      </w:r>
    </w:p>
    <w:p>
      <w:pPr>
        <w:pStyle w:val="FirstParagraph"/>
      </w:pPr>
      <w:r>
        <w:t xml:space="preserve">This Thesis Proposal outlines a critical investigation into the daily realities, challenges, and evolving professional landscape of the</w:t>
      </w:r>
      <w:r>
        <w:t xml:space="preserve"> </w:t>
      </w:r>
      <w:r>
        <w:rPr>
          <w:bCs/>
          <w:b/>
        </w:rPr>
        <w:t xml:space="preserve">Lawyer</w:t>
      </w:r>
      <w:r>
        <w:t xml:space="preserve"> </w:t>
      </w:r>
      <w:r>
        <w:t xml:space="preserve">within the unique setting of</w:t>
      </w:r>
      <w:r>
        <w:t xml:space="preserve"> </w:t>
      </w:r>
      <w:r>
        <w:rPr>
          <w:bCs/>
          <w:b/>
        </w:rPr>
        <w:t xml:space="preserve">Turkey Ankara</w:t>
      </w:r>
      <w:r>
        <w:t xml:space="preserve">. By focusing intensely on this specific jurisdiction—the nerve center of Turkey's legal and administrative apparatus—this research promises to deliver valuable empirical evidence that moves beyond generalizations about Turkish law. It is not merely an academic exercise; it responds directly to the needs and aspirations of legal practitioners operating in the capital city, aiming to enhance their effectiveness, well-being, and contribution to justice delivery within</w:t>
      </w:r>
      <w:r>
        <w:t xml:space="preserve"> </w:t>
      </w:r>
      <w:r>
        <w:rPr>
          <w:bCs/>
          <w:b/>
        </w:rPr>
        <w:t xml:space="preserve">Turkey Ankara</w:t>
      </w:r>
      <w:r>
        <w:t xml:space="preserve">. The successful completion of this study will significantly advance understanding of contemporary legal practice in a pivotal urban context and provide a foundation for future reforms benefiting lawyers across Turkey.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Legal Practice and Challenges of Lawyers in Turkey Ankara</dc:title>
  <dc:creator/>
  <dc:language>en</dc:language>
  <cp:keywords/>
  <dcterms:created xsi:type="dcterms:W3CDTF">2026-07-19T09:24:35Z</dcterms:created>
  <dcterms:modified xsi:type="dcterms:W3CDTF">2026-07-19T09:24:35Z</dcterms:modified>
</cp:coreProperties>
</file>

<file path=docProps/custom.xml><?xml version="1.0" encoding="utf-8"?>
<Properties xmlns="http://schemas.openxmlformats.org/officeDocument/2006/custom-properties" xmlns:vt="http://schemas.openxmlformats.org/officeDocument/2006/docPropsVTypes"/>
</file>