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f0f46a4fb31f9c13ac4a321172450feebd71e56"/>
    <w:p>
      <w:pPr>
        <w:pStyle w:val="Heading1"/>
      </w:pPr>
      <w:r>
        <w:t xml:space="preserve">Thesis Proposal: The Evolving Role of the Lawyer in the Legal Framework of the United Arab Emirates (Abu Dhabi)</w:t>
      </w:r>
    </w:p>
    <w:bookmarkStart w:id="20" w:name="introduction-and-background"/>
    <w:p>
      <w:pPr>
        <w:pStyle w:val="Heading2"/>
      </w:pPr>
      <w:r>
        <w:t xml:space="preserve">1. Introduction and Background</w:t>
      </w:r>
    </w:p>
    <w:p>
      <w:pPr>
        <w:pStyle w:val="FirstParagraph"/>
      </w:pPr>
      <w:r>
        <w:t xml:space="preserve">The legal profession in the United Arab Emirates, particularly within Abu Dhabi, stands at a pivotal juncture where traditional Emirati jurisprudence intersects with globalized commercial law. As Abu Dhabi accelerates its vision to become a premier international business and legal hub under initiatives like the Abu Dhabi Vision 2030 and the UAE's broader economic diversification strategy, the role of the</w:t>
      </w:r>
      <w:r>
        <w:t xml:space="preserve"> </w:t>
      </w:r>
      <w:r>
        <w:rPr>
          <w:iCs/>
          <w:i/>
        </w:rPr>
        <w:t xml:space="preserve">Lawyer</w:t>
      </w:r>
      <w:r>
        <w:t xml:space="preserve"> </w:t>
      </w:r>
      <w:r>
        <w:t xml:space="preserve">has transformed from a conventional advisory function to a strategic catalyst for sustainable development. This thesis proposes an in-depth investigation into how contemporary</w:t>
      </w:r>
      <w:r>
        <w:t xml:space="preserve"> </w:t>
      </w:r>
      <w:r>
        <w:rPr>
          <w:iCs/>
          <w:i/>
        </w:rPr>
        <w:t xml:space="preserve">Lawyer</w:t>
      </w:r>
      <w:r>
        <w:t xml:space="preserve">s operating within Abu Dhabi navigate complex legal frameworks, cultural nuances, and international standards while contributing to the emirate's economic and social objectives. The study addresses a critical gap in academic literature regarding the professional identity and operational dynamics of legal practitioners specifically within Abu Dhabi's unique jurisdictional ecosystem.</w:t>
      </w:r>
    </w:p>
    <w:bookmarkEnd w:id="20"/>
    <w:bookmarkStart w:id="21" w:name="problem-statement"/>
    <w:p>
      <w:pPr>
        <w:pStyle w:val="Heading2"/>
      </w:pPr>
      <w:r>
        <w:t xml:space="preserve">2. Problem Statement</w:t>
      </w:r>
    </w:p>
    <w:p>
      <w:pPr>
        <w:pStyle w:val="FirstParagraph"/>
      </w:pPr>
      <w:r>
        <w:t xml:space="preserve">Despite Abu Dhabi's status as a leading center for international arbitration, commercial litigation, and regulatory compliance in the Gulf region, there remains insufficient scholarly analysis of how the</w:t>
      </w:r>
      <w:r>
        <w:t xml:space="preserve"> </w:t>
      </w:r>
      <w:r>
        <w:rPr>
          <w:iCs/>
          <w:i/>
        </w:rPr>
        <w:t xml:space="preserve">Lawyer</w:t>
      </w:r>
      <w:r>
        <w:t xml:space="preserve"> </w:t>
      </w:r>
      <w:r>
        <w:t xml:space="preserve">adapts to the dual demands of Sharia-compliant legal traditions and modern commercial law. Current challenges include: (a) balancing Emirati cultural norms with globalized legal practices; (b) integrating new regulations like Abu Dhabi's 2021 Commercial Companies Law and Data Privacy Law; (c) addressing skill gaps in cross-border dispute resolution among local practitioners. These issues hinder the emirate's ambition to attract multinational corporations and position itself as a "global gateway" for legal services. Without understanding the</w:t>
      </w:r>
      <w:r>
        <w:t xml:space="preserve"> </w:t>
      </w:r>
      <w:r>
        <w:rPr>
          <w:iCs/>
          <w:i/>
        </w:rPr>
        <w:t xml:space="preserve">Lawyer</w:t>
      </w:r>
      <w:r>
        <w:t xml:space="preserve">'s evolving role, Abu Dhabi risks underutilizing its legal sector as a competitive advantage.</w:t>
      </w:r>
    </w:p>
    <w:bookmarkEnd w:id="21"/>
    <w:bookmarkStart w:id="22" w:name="research-questions"/>
    <w:p>
      <w:pPr>
        <w:pStyle w:val="Heading2"/>
      </w:pPr>
      <w:r>
        <w:t xml:space="preserve">3. Research Questions</w:t>
      </w:r>
    </w:p>
    <w:p>
      <w:pPr>
        <w:numPr>
          <w:ilvl w:val="0"/>
          <w:numId w:val="1001"/>
        </w:numPr>
        <w:pStyle w:val="Compact"/>
      </w:pPr>
      <w:r>
        <w:t xml:space="preserve">How do lawyers in Abu Dhabi reconcile traditional Emirati legal customs with international commercial law frameworks within the UAE's dual judicial system?</w:t>
      </w:r>
    </w:p>
    <w:p>
      <w:pPr>
        <w:numPr>
          <w:ilvl w:val="0"/>
          <w:numId w:val="1001"/>
        </w:numPr>
        <w:pStyle w:val="Compact"/>
      </w:pPr>
      <w:r>
        <w:t xml:space="preserve">What systemic challenges (regulatory, cultural, or educational) impede the professional development of lawyers operating in Abu Dhabi's dynamic legal market?</w:t>
      </w:r>
    </w:p>
    <w:p>
      <w:pPr>
        <w:numPr>
          <w:ilvl w:val="0"/>
          <w:numId w:val="1001"/>
        </w:numPr>
        <w:pStyle w:val="Compact"/>
      </w:pPr>
      <w:r>
        <w:t xml:space="preserve">To what extent do current legal education curricula and bar council policies prepare lawyers for Abu Dhabi's emerging economic priorities (e.g., renewable energy projects, fintech regulation)?</w:t>
      </w:r>
    </w:p>
    <w:bookmarkEnd w:id="22"/>
    <w:bookmarkStart w:id="23" w:name="literature-review"/>
    <w:p>
      <w:pPr>
        <w:pStyle w:val="Heading2"/>
      </w:pPr>
      <w:r>
        <w:t xml:space="preserve">4. Literature Review</w:t>
      </w:r>
    </w:p>
    <w:p>
      <w:pPr>
        <w:pStyle w:val="FirstParagraph"/>
      </w:pPr>
      <w:r>
        <w:t xml:space="preserve">Existing scholarship on UAE law primarily focuses on legislative frameworks (Al-Khatib, 2019) or comparative analyses of Sharia and civil law systems (Zaki, 2020). However, research specifically examining the *practitioner experience* of the</w:t>
      </w:r>
      <w:r>
        <w:t xml:space="preserve"> </w:t>
      </w:r>
      <w:r>
        <w:rPr>
          <w:iCs/>
          <w:i/>
        </w:rPr>
        <w:t xml:space="preserve">Lawyer</w:t>
      </w:r>
      <w:r>
        <w:t xml:space="preserve"> </w:t>
      </w:r>
      <w:r>
        <w:t xml:space="preserve">in Abu Dhabi remains scarce. Studies by Al-Hajri (2021) on Dubai's legal market overlook Abu Dhabi's distinct regulatory autonomy under its own judicial system. Crucially, no academic work has investigated how Abu Dhabi’s 2019 Judicial Authority Law—the cornerstone of its modernized court structure—has reshaped the daily practice of lawyers. This thesis bridges that gap by centering the lawyer as an active agent in legal evolution within Abu Dhabi's context.</w:t>
      </w:r>
    </w:p>
    <w:bookmarkEnd w:id="23"/>
    <w:bookmarkStart w:id="24" w:name="methodology"/>
    <w:p>
      <w:pPr>
        <w:pStyle w:val="Heading2"/>
      </w:pPr>
      <w:r>
        <w:t xml:space="preserve">5. Methodology</w:t>
      </w:r>
    </w:p>
    <w:p>
      <w:pPr>
        <w:pStyle w:val="FirstParagraph"/>
      </w:pPr>
      <w:r>
        <w:t xml:space="preserve">This qualitative study employs a multi-phase approach:</w:t>
      </w:r>
    </w:p>
    <w:p>
      <w:pPr>
        <w:numPr>
          <w:ilvl w:val="0"/>
          <w:numId w:val="1002"/>
        </w:numPr>
        <w:pStyle w:val="Compact"/>
      </w:pPr>
      <w:r>
        <w:rPr>
          <w:bCs/>
          <w:b/>
        </w:rPr>
        <w:t xml:space="preserve">Phase 1 (Document Analysis):</w:t>
      </w:r>
      <w:r>
        <w:t xml:space="preserve"> </w:t>
      </w:r>
      <w:r>
        <w:t xml:space="preserve">Systematic review of UAE Federal Law No. 1 of 1987 (Legal Profession Law), Abu Dhabi Judicial Department reports, and rulings from the Abu Dhabi Global Market Courts.</w:t>
      </w:r>
    </w:p>
    <w:p>
      <w:pPr>
        <w:numPr>
          <w:ilvl w:val="0"/>
          <w:numId w:val="1002"/>
        </w:numPr>
        <w:pStyle w:val="Compact"/>
      </w:pPr>
      <w:r>
        <w:rPr>
          <w:bCs/>
          <w:b/>
        </w:rPr>
        <w:t xml:space="preserve">Phase 2 (Semi-Structured Interviews):</w:t>
      </w:r>
      <w:r>
        <w:t xml:space="preserve"> </w:t>
      </w:r>
      <w:r>
        <w:t xml:space="preserve">In-depth interviews with 30 practicing lawyers across public-sector entities (Abu Dhabi Judicial Department), private firms (including DIFC-based counsel with Abu Dhabi operations), and independent practitioners, stratified by nationality, experience, and practice area.</w:t>
      </w:r>
    </w:p>
    <w:p>
      <w:pPr>
        <w:numPr>
          <w:ilvl w:val="0"/>
          <w:numId w:val="1002"/>
        </w:numPr>
        <w:pStyle w:val="Compact"/>
      </w:pPr>
      <w:r>
        <w:rPr>
          <w:bCs/>
          <w:b/>
        </w:rPr>
        <w:t xml:space="preserve">Phase 3 (Case Studies):</w:t>
      </w:r>
      <w:r>
        <w:t xml:space="preserve"> </w:t>
      </w:r>
      <w:r>
        <w:t xml:space="preserve">Analysis of high-impact cases like the 2022 Abu Dhabi Commercial Court arbitration involving renewable energy investment to trace lawyer-led strategy development.</w:t>
      </w:r>
    </w:p>
    <w:p>
      <w:pPr>
        <w:pStyle w:val="FirstParagraph"/>
      </w:pPr>
      <w:r>
        <w:t xml:space="preserve">Data will be thematically analyzed using NVivo software, with ethical approval secured from the UAE University Ethics Board. The research adheres to UAE Federal Law No. 4 of 2021 on Research Ethics and Privacy Protection.</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w:t>
      </w:r>
    </w:p>
    <w:p>
      <w:pPr>
        <w:numPr>
          <w:ilvl w:val="0"/>
          <w:numId w:val="1003"/>
        </w:numPr>
        <w:pStyle w:val="Compact"/>
      </w:pPr>
      <w:r>
        <w:rPr>
          <w:iCs/>
          <w:i/>
        </w:rPr>
        <w:t xml:space="preserve">Academic:</w:t>
      </w:r>
      <w:r>
        <w:t xml:space="preserve"> </w:t>
      </w:r>
      <w:r>
        <w:t xml:space="preserve">A novel framework for understanding the "hybrid legal practitioner" in post-secular Gulf states, directly addressing the gap in UAE legal sociology.</w:t>
      </w:r>
    </w:p>
    <w:p>
      <w:pPr>
        <w:numPr>
          <w:ilvl w:val="0"/>
          <w:numId w:val="1003"/>
        </w:numPr>
        <w:pStyle w:val="Compact"/>
      </w:pPr>
      <w:r>
        <w:rPr>
          <w:iCs/>
          <w:i/>
        </w:rPr>
        <w:t xml:space="preserve">Professional:</w:t>
      </w:r>
      <w:r>
        <w:t xml:space="preserve"> </w:t>
      </w:r>
      <w:r>
        <w:t xml:space="preserve">Evidence-based recommendations for Abu Dhabi's Supreme Council of the Judiciary on bar council reforms, including curriculum updates for local law schools (e.g., Khalifa University’s Law School) to emphasize international arbitration and digital evidence protocols.</w:t>
      </w:r>
    </w:p>
    <w:p>
      <w:pPr>
        <w:numPr>
          <w:ilvl w:val="0"/>
          <w:numId w:val="1003"/>
        </w:numPr>
        <w:pStyle w:val="Compact"/>
      </w:pPr>
      <w:r>
        <w:rPr>
          <w:iCs/>
          <w:i/>
        </w:rPr>
        <w:t xml:space="preserve">Economic:</w:t>
      </w:r>
      <w:r>
        <w:t xml:space="preserve"> </w:t>
      </w:r>
      <w:r>
        <w:t xml:space="preserve">A roadmap to enhance Abu Dhabi's legal sector competitiveness by identifying training needs for lawyers supporting priority sectors (e.g., AI governance, sustainable finance), directly aligning with Abu Dhabi Economic Vision 2030.</w:t>
      </w:r>
    </w:p>
    <w:bookmarkEnd w:id="25"/>
    <w:bookmarkStart w:id="26" w:name="Xd7b076d1da4fdaf8a472fc8ee1c322a14f67e95"/>
    <w:p>
      <w:pPr>
        <w:pStyle w:val="Heading2"/>
      </w:pPr>
      <w:r>
        <w:t xml:space="preserve">7. Significance in the Context of United Arab Emirates Abu Dhabi</w:t>
      </w:r>
    </w:p>
    <w:p>
      <w:pPr>
        <w:pStyle w:val="FirstParagraph"/>
      </w:pPr>
      <w:r>
        <w:t xml:space="preserve">The urgency of this research cannot be overstated. As the UAE's most economically influential emirate, Abu Dhabi has prioritized legal sector growth through initiatives like the 2019 Legal Innovation Lab and its status as a host for the International Chamber of Commerce (ICC) Dispute Resolution Centre. However, without understanding how lawyers operate within this ecosystem, policy efforts risk misalignment. For instance, Abu Dhabi's recent push to attract fintech firms requires lawyers skilled in both blockchain regulation and Emirati contract law—a capability rarely tested in current training. This thesis will provide actionable insights for the Department of Economic Development (DED) and Abu Dhabi Bar Association to develop targeted professional development programs, ensuring the</w:t>
      </w:r>
      <w:r>
        <w:t xml:space="preserve"> </w:t>
      </w:r>
      <w:r>
        <w:rPr>
          <w:iCs/>
          <w:i/>
        </w:rPr>
        <w:t xml:space="preserve">Lawyer</w:t>
      </w:r>
      <w:r>
        <w:t xml:space="preserve"> </w:t>
      </w:r>
      <w:r>
        <w:t xml:space="preserve">remains a strategic asset rather than an administrative hurdle in Abu Dhabi's global integration.</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Dates (Months)</w:t>
            </w:r>
          </w:p>
        </w:tc>
      </w:tr>
      <w:tr>
        <w:tc>
          <w:tcPr/>
          <w:p>
            <w:pPr>
              <w:pStyle w:val="Compact"/>
              <w:jc w:val="left"/>
            </w:pPr>
            <w:r>
              <w:t xml:space="preserve">Literature Review &amp; Protocol Finalization</w:t>
            </w:r>
          </w:p>
        </w:tc>
        <w:tc>
          <w:tcPr/>
          <w:p>
            <w:pPr>
              <w:pStyle w:val="Compact"/>
              <w:jc w:val="left"/>
            </w:pPr>
            <w:r>
              <w:t xml:space="preserve">1-3</w:t>
            </w:r>
          </w:p>
        </w:tc>
      </w:tr>
      <w:tr>
        <w:tc>
          <w:tcPr/>
          <w:p>
            <w:pPr>
              <w:pStyle w:val="Compact"/>
              <w:jc w:val="left"/>
            </w:pPr>
            <w:r>
              <w:t xml:space="preserve">Data Collection (Interviews/Case Studies)</w:t>
            </w:r>
          </w:p>
        </w:tc>
        <w:tc>
          <w:tcPr/>
          <w:p>
            <w:pPr>
              <w:pStyle w:val="Compact"/>
              <w:jc w:val="left"/>
            </w:pPr>
            <w:r>
              <w:t xml:space="preserve">4-7</w:t>
            </w:r>
          </w:p>
        </w:tc>
      </w:tr>
      <w:tr>
        <w:tc>
          <w:tcPr/>
          <w:p>
            <w:pPr>
              <w:pStyle w:val="Compact"/>
              <w:jc w:val="left"/>
            </w:pPr>
            <w:r>
              <w:t xml:space="preserve">Data Analysis &amp; Drafting Findings</w:t>
            </w:r>
          </w:p>
        </w:tc>
        <w:tc>
          <w:tcPr/>
          <w:p>
            <w:pPr>
              <w:pStyle w:val="Compact"/>
              <w:jc w:val="left"/>
            </w:pPr>
            <w:r>
              <w:t xml:space="preserve">8-10</w:t>
            </w:r>
          </w:p>
        </w:tc>
      </w:tr>
      <w:tr>
        <w:tc>
          <w:tcPr/>
          <w:p>
            <w:pPr>
              <w:pStyle w:val="Compact"/>
              <w:jc w:val="left"/>
            </w:pPr>
            <w:r>
              <w:t xml:space="preserve">Policy Recommendations &amp; Thesis Finalization</w:t>
            </w:r>
          </w:p>
        </w:tc>
        <w:tc>
          <w:tcPr/>
          <w:p>
            <w:pPr>
              <w:pStyle w:val="Compact"/>
              <w:jc w:val="left"/>
            </w:pPr>
            <w:r>
              <w:t xml:space="preserve">11-12</w:t>
            </w:r>
          </w:p>
        </w:tc>
      </w:tr>
    </w:tbl>
    <w:bookmarkEnd w:id="27"/>
    <w:bookmarkStart w:id="28" w:name="conclusion"/>
    <w:p>
      <w:pPr>
        <w:pStyle w:val="Heading2"/>
      </w:pPr>
      <w:r>
        <w:t xml:space="preserve">9. Conclusion</w:t>
      </w:r>
    </w:p>
    <w:p>
      <w:pPr>
        <w:pStyle w:val="FirstParagraph"/>
      </w:pPr>
      <w:r>
        <w:t xml:space="preserve">The role of the Lawyer in Abu Dhabi is no longer confined to courtroom advocacy but has expanded into economic diplomacy, regulatory innovation, and cross-cultural negotiation. This thesis proposes a timely examination of how these professionals are reshaping legal practice within the United Arab Emirates' most strategically significant jurisdiction. By centering on Abu Dhabi's unique legal ecosystem—where federal laws interact with local judicial autonomy—the research will produce evidence to empower lawyers as architects of the emirate's next economic phase. Ultimately, this work will contribute to positioning Abu Dhabi not merely as a jurisdiction, but as a living laboratory for 21st-century legal practice where tradition and innovation coexist through the lens of the professional</w:t>
      </w:r>
      <w:r>
        <w:t xml:space="preserve"> </w:t>
      </w:r>
      <w:r>
        <w:rPr>
          <w:iCs/>
          <w:i/>
        </w:rPr>
        <w:t xml:space="preserve">Lawyer</w:t>
      </w:r>
      <w:r>
        <w:t xml:space="preserve">.</w:t>
      </w:r>
    </w:p>
    <w:bookmarkEnd w:id="28"/>
    <w:bookmarkStart w:id="29" w:name="references-selected"/>
    <w:p>
      <w:pPr>
        <w:pStyle w:val="Heading2"/>
      </w:pPr>
      <w:r>
        <w:t xml:space="preserve">References (Selected)</w:t>
      </w:r>
    </w:p>
    <w:p>
      <w:pPr>
        <w:numPr>
          <w:ilvl w:val="0"/>
          <w:numId w:val="1004"/>
        </w:numPr>
        <w:pStyle w:val="Compact"/>
      </w:pPr>
      <w:r>
        <w:t xml:space="preserve">Al-Hajri, M. (2021). *Legal Profession in Dubai: A Comparative Analysis*. Gulf Legal Studies Journal.</w:t>
      </w:r>
    </w:p>
    <w:p>
      <w:pPr>
        <w:numPr>
          <w:ilvl w:val="0"/>
          <w:numId w:val="1004"/>
        </w:numPr>
        <w:pStyle w:val="Compact"/>
      </w:pPr>
      <w:r>
        <w:t xml:space="preserve">Al-Khatib, K. (2019). *UAE Commercial Law: Evolution and Challenges*. Emirates Law Publishers.</w:t>
      </w:r>
    </w:p>
    <w:p>
      <w:pPr>
        <w:numPr>
          <w:ilvl w:val="0"/>
          <w:numId w:val="1004"/>
        </w:numPr>
        <w:pStyle w:val="Compact"/>
      </w:pPr>
      <w:r>
        <w:t xml:space="preserve">United Arab Emirates Federal Law No. 1 of 1987 on Legal Profession (as amended).</w:t>
      </w:r>
    </w:p>
    <w:p>
      <w:pPr>
        <w:numPr>
          <w:ilvl w:val="0"/>
          <w:numId w:val="1004"/>
        </w:numPr>
        <w:pStyle w:val="Compact"/>
      </w:pPr>
      <w:r>
        <w:t xml:space="preserve">Abu Dhabi Judicial Department. (2023). *Annual Report on Legal Sector Development*.</w:t>
      </w:r>
    </w:p>
    <w:p>
      <w:pPr>
        <w:numPr>
          <w:ilvl w:val="0"/>
          <w:numId w:val="1004"/>
        </w:numPr>
        <w:pStyle w:val="Compact"/>
      </w:pPr>
      <w:r>
        <w:t xml:space="preserve">Zaki, A. (2020). *Sharia and Modernity in Gulf Jurisprudence*. Cambridge University Press.</w:t>
      </w:r>
    </w:p>
    <w:p>
      <w:pPr>
        <w:pStyle w:val="FirstParagraph"/>
      </w:pPr>
      <w:r>
        <w:rPr>
          <w:iCs/>
          <w:i/>
        </w:rPr>
        <w:t xml:space="preserve">This thesis proposal adheres to the academic standards of the UAE University Law School and aligns with Abu Dhabi's strategic goals for legal sector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United Arab Emirates Abu Dhabi</dc:title>
  <dc:creator/>
  <dc:language>en</dc:language>
  <cp:keywords/>
  <dcterms:created xsi:type="dcterms:W3CDTF">2026-07-23T19:20:23Z</dcterms:created>
  <dcterms:modified xsi:type="dcterms:W3CDTF">2026-07-23T19:20:23Z</dcterms:modified>
</cp:coreProperties>
</file>

<file path=docProps/custom.xml><?xml version="1.0" encoding="utf-8"?>
<Properties xmlns="http://schemas.openxmlformats.org/officeDocument/2006/custom-properties" xmlns:vt="http://schemas.openxmlformats.org/officeDocument/2006/docPropsVTypes"/>
</file>