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r>
        <w:t xml:space="preserve"> </w:t>
      </w:r>
      <w:r>
        <w:t xml:space="preserve">Legal</w:t>
      </w:r>
      <w:r>
        <w:t xml:space="preserve"> </w:t>
      </w:r>
      <w:r>
        <w:t xml:space="preserve">Landscape</w:t>
      </w:r>
    </w:p>
    <w:bookmarkStart w:id="30" w:name="X24a81b005c4c07d63c9741e5172a924b7790d5c"/>
    <w:p>
      <w:pPr>
        <w:pStyle w:val="Heading1"/>
      </w:pPr>
      <w:r>
        <w:t xml:space="preserve">Thesis Proposal: The Evolving Role of the Lawyer in United Arab Emirates Dubai Legal Landscape</w:t>
      </w:r>
    </w:p>
    <w:bookmarkStart w:id="20" w:name="introduction-and-background"/>
    <w:p>
      <w:pPr>
        <w:pStyle w:val="Heading2"/>
      </w:pPr>
      <w:r>
        <w:t xml:space="preserve">1. Introduction and Background</w:t>
      </w:r>
    </w:p>
    <w:p>
      <w:pPr>
        <w:pStyle w:val="FirstParagraph"/>
      </w:pPr>
      <w:r>
        <w:t xml:space="preserve">The legal profession in the United Arab Emirates (UAE), particularly within Dubai, operates at the intersection of civil law, Islamic jurisprudence, and international commercial frameworks. As Dubai solidifies its position as a global business hub with over 150 nationalities operating within its borders, the role of the Lawyer has evolved beyond traditional boundaries into a complex multidisciplinary function. This Thesis Proposal examines how contemporary legal practitioners navigate this dynamic environment, addressing critical gaps in understanding the modern Lawyer's professional trajectory in United Arab Emirates Dubai. With Dubai International Financial Centre (DIFC) Courts operating alongside mainland UAE courts and new legislation like the Federal Commercial Code (2023) reshaping practice areas, the need for comprehensive research into the Lawyer's evolving responsibilities has never been more urgent.</w:t>
      </w:r>
    </w:p>
    <w:bookmarkEnd w:id="20"/>
    <w:bookmarkStart w:id="21" w:name="problem-statement"/>
    <w:p>
      <w:pPr>
        <w:pStyle w:val="Heading2"/>
      </w:pPr>
      <w:r>
        <w:t xml:space="preserve">2. Problem Statement</w:t>
      </w:r>
    </w:p>
    <w:p>
      <w:pPr>
        <w:pStyle w:val="FirstParagraph"/>
      </w:pPr>
      <w:r>
        <w:t xml:space="preserve">Despite Dubai's rapid legal transformation, scholarly literature remains sparse on how individual Lawyers adapt to this unique ecosystem. Existing studies focus on legislative frameworks without examining practitioner experiences. This creates a critical knowledge gap: How do Lawyers in United Arab Emirates Dubai reconcile Sharia principles with international commercial law? How does the DIFC's common law system influence mainland legal practice? Crucially, the rising demand for specialized legal services—from fintech regulations to Emirati women's rights cases—demands an analysis of professional identity formation that current literature lacks. Without addressing these dimensions, the UAE risks underprepared legal professionals unable to service its global business clientele effectively.</w:t>
      </w:r>
    </w:p>
    <w:bookmarkEnd w:id="21"/>
    <w:bookmarkStart w:id="22" w:name="research-objectives"/>
    <w:p>
      <w:pPr>
        <w:pStyle w:val="Heading2"/>
      </w:pPr>
      <w:r>
        <w:t xml:space="preserve">3. Research Objectives</w:t>
      </w:r>
    </w:p>
    <w:p>
      <w:pPr>
        <w:numPr>
          <w:ilvl w:val="0"/>
          <w:numId w:val="1001"/>
        </w:numPr>
        <w:pStyle w:val="Compact"/>
      </w:pPr>
      <w:r>
        <w:t xml:space="preserve">To analyze the structural evolution of legal practice in Dubai since 2015, focusing on how new courts and legislation redefined the Lawyer's scope of work.</w:t>
      </w:r>
    </w:p>
    <w:p>
      <w:pPr>
        <w:numPr>
          <w:ilvl w:val="0"/>
          <w:numId w:val="1001"/>
        </w:numPr>
        <w:pStyle w:val="Compact"/>
      </w:pPr>
      <w:r>
        <w:t xml:space="preserve">To identify sector-specific challenges faced by Lawyers handling cross-border disputes between UAE and international entities.</w:t>
      </w:r>
    </w:p>
    <w:p>
      <w:pPr>
        <w:numPr>
          <w:ilvl w:val="0"/>
          <w:numId w:val="1001"/>
        </w:numPr>
        <w:pStyle w:val="Compact"/>
      </w:pPr>
      <w:r>
        <w:t xml:space="preserve">To assess how cultural, religious, and professional factors shape ethical decision-making for a Lawyer operating within United Arab Emirates Dubai's dual legal systems.</w:t>
      </w:r>
    </w:p>
    <w:p>
      <w:pPr>
        <w:numPr>
          <w:ilvl w:val="0"/>
          <w:numId w:val="1001"/>
        </w:numPr>
        <w:pStyle w:val="Compact"/>
      </w:pPr>
      <w:r>
        <w:t xml:space="preserve">To develop a competency framework for the modern Lawyer in Dubai aligned with Abu Dhabi Executive Council Resolution No. 14 of 2022 on Legal Professional Standards.</w:t>
      </w:r>
    </w:p>
    <w:bookmarkEnd w:id="22"/>
    <w:bookmarkStart w:id="23" w:name="literature-review-key-gaps-identified"/>
    <w:p>
      <w:pPr>
        <w:pStyle w:val="Heading2"/>
      </w:pPr>
      <w:r>
        <w:t xml:space="preserve">4. Literature Review (Key Gaps Identified)</w:t>
      </w:r>
    </w:p>
    <w:p>
      <w:pPr>
        <w:pStyle w:val="FirstParagraph"/>
      </w:pPr>
      <w:r>
        <w:t xml:space="preserve">Current scholarship predominantly examines UAE legislation (e.g., Al-Jabri, 2019) or Dubai's economic policies (Al-Hammadi, 2021), but neglects practitioner perspectives. Notable omissions include:</w:t>
      </w:r>
    </w:p>
    <w:p>
      <w:pPr>
        <w:numPr>
          <w:ilvl w:val="0"/>
          <w:numId w:val="1002"/>
        </w:numPr>
        <w:pStyle w:val="Compact"/>
      </w:pPr>
      <w:r>
        <w:t xml:space="preserve">No study explores how Lawyers mediate between DIFC's common law practices and mainland UAE courts' civil law/Sharia foundations.</w:t>
      </w:r>
    </w:p>
    <w:p>
      <w:pPr>
        <w:numPr>
          <w:ilvl w:val="0"/>
          <w:numId w:val="1002"/>
        </w:numPr>
        <w:pStyle w:val="Compact"/>
      </w:pPr>
      <w:r>
        <w:t xml:space="preserve">Zero research addresses the impact of Dubai's new Personal Status Law (2023) on Lawyers representing women in family disputes.</w:t>
      </w:r>
    </w:p>
    <w:p>
      <w:pPr>
        <w:numPr>
          <w:ilvl w:val="0"/>
          <w:numId w:val="1002"/>
        </w:numPr>
        <w:pStyle w:val="Compact"/>
      </w:pPr>
      <w:r>
        <w:t xml:space="preserve">Literature fails to document how Lawyer recruitment trends at firms like Al Tamimi &amp; Company or Al Mulla Legal reflect market demands.</w:t>
      </w:r>
    </w:p>
    <w:p>
      <w:pPr>
        <w:pStyle w:val="FirstParagraph"/>
      </w:pPr>
      <w:r>
        <w:t xml:space="preserve">This Thesis Proposal directly addresses these lacunae through practitioner-centered research within United Arab Emirates Dubai's unique legal ecosystem.</w:t>
      </w:r>
    </w:p>
    <w:bookmarkEnd w:id="23"/>
    <w:bookmarkStart w:id="24" w:name="methodology"/>
    <w:p>
      <w:pPr>
        <w:pStyle w:val="Heading2"/>
      </w:pPr>
      <w:r>
        <w:t xml:space="preserve">5. Methodology</w:t>
      </w:r>
    </w:p>
    <w:p>
      <w:pPr>
        <w:pStyle w:val="FirstParagraph"/>
      </w:pPr>
      <w:r>
        <w:t xml:space="preserve">This mixed-methods study employs:</w:t>
      </w:r>
    </w:p>
    <w:p>
      <w:pPr>
        <w:numPr>
          <w:ilvl w:val="0"/>
          <w:numId w:val="1003"/>
        </w:numPr>
        <w:pStyle w:val="Compact"/>
      </w:pPr>
      <w:r>
        <w:rPr>
          <w:bCs/>
          <w:b/>
        </w:rPr>
        <w:t xml:space="preserve">Qualitative Component:</w:t>
      </w:r>
      <w:r>
        <w:t xml:space="preserve"> </w:t>
      </w:r>
      <w:r>
        <w:t xml:space="preserve">Semi-structured interviews with 30 practicing Lawyers across Dubai (15 from DIFC-based firms, 10 mainland commercial firms, and 5 specialized in family/sharia law), ensuring gender and nationality diversity representative of Dubai's legal workforce.</w:t>
      </w:r>
    </w:p>
    <w:p>
      <w:pPr>
        <w:numPr>
          <w:ilvl w:val="0"/>
          <w:numId w:val="1003"/>
        </w:numPr>
        <w:pStyle w:val="Compact"/>
      </w:pPr>
      <w:r>
        <w:rPr>
          <w:bCs/>
          <w:b/>
        </w:rPr>
        <w:t xml:space="preserve">Quantitative Component:</w:t>
      </w:r>
      <w:r>
        <w:t xml:space="preserve"> </w:t>
      </w:r>
      <w:r>
        <w:t xml:space="preserve">Survey of 200 licensed Lawyers via the Dubai Legal Affairs Department to measure professional stressors (e.g., cultural conflict in negotiations, regulatory compliance burdens).</w:t>
      </w:r>
    </w:p>
    <w:p>
      <w:pPr>
        <w:numPr>
          <w:ilvl w:val="0"/>
          <w:numId w:val="1003"/>
        </w:numPr>
        <w:pStyle w:val="Compact"/>
      </w:pPr>
      <w:r>
        <w:rPr>
          <w:bCs/>
          <w:b/>
        </w:rPr>
        <w:t xml:space="preserve">Document Analysis:</w:t>
      </w:r>
      <w:r>
        <w:t xml:space="preserve"> </w:t>
      </w:r>
      <w:r>
        <w:t xml:space="preserve">Review of 50+ recent court decisions from DIFC Courts and Dubai Civil Court, focusing on Lawyer-led arguments in commercial disputes.</w:t>
      </w:r>
    </w:p>
    <w:p>
      <w:pPr>
        <w:pStyle w:val="FirstParagraph"/>
      </w:pPr>
      <w:r>
        <w:t xml:space="preserve">Ethical clearance will be obtained from the University of Dubai's IRB. Data triangulation ensures robustness, with all interviews audio-recorded and transcribed verbatim for thematic analysis using NVivo software.</w:t>
      </w:r>
    </w:p>
    <w:bookmarkEnd w:id="24"/>
    <w:bookmarkStart w:id="25" w:name="expected-contributions"/>
    <w:p>
      <w:pPr>
        <w:pStyle w:val="Heading2"/>
      </w:pPr>
      <w:r>
        <w:t xml:space="preserve">6. Expected Contributions</w:t>
      </w:r>
    </w:p>
    <w:p>
      <w:pPr>
        <w:pStyle w:val="FirstParagraph"/>
      </w:pPr>
      <w:r>
        <w:t xml:space="preserve">This Thesis Proposal delivers three transformative contributions to legal academia and practice in United Arab Emirates Dubai:</w:t>
      </w:r>
    </w:p>
    <w:p>
      <w:pPr>
        <w:numPr>
          <w:ilvl w:val="0"/>
          <w:numId w:val="1004"/>
        </w:numPr>
        <w:pStyle w:val="Compact"/>
      </w:pPr>
      <w:r>
        <w:rPr>
          <w:bCs/>
          <w:b/>
        </w:rPr>
        <w:t xml:space="preserve">Academic:</w:t>
      </w:r>
      <w:r>
        <w:t xml:space="preserve"> </w:t>
      </w:r>
      <w:r>
        <w:t xml:space="preserve">First comprehensive study on Lawyer identity formation in a jurisdiction blending civil, common, and Sharia law systems.</w:t>
      </w:r>
    </w:p>
    <w:p>
      <w:pPr>
        <w:numPr>
          <w:ilvl w:val="0"/>
          <w:numId w:val="1004"/>
        </w:numPr>
        <w:pStyle w:val="Compact"/>
      </w:pPr>
      <w:r>
        <w:rPr>
          <w:bCs/>
          <w:b/>
        </w:rPr>
        <w:t xml:space="preserve">Professional:</w:t>
      </w:r>
      <w:r>
        <w:t xml:space="preserve"> </w:t>
      </w:r>
      <w:r>
        <w:t xml:space="preserve">A validated competency model for Lawyers addressing Dubai's 2025 Vision for Legal Excellence (Ministry of Justice Directive No. 38/2021), directly informing the UAE Bar Association's training modules.</w:t>
      </w:r>
    </w:p>
    <w:p>
      <w:pPr>
        <w:numPr>
          <w:ilvl w:val="0"/>
          <w:numId w:val="1004"/>
        </w:numPr>
        <w:pStyle w:val="Compact"/>
      </w:pPr>
      <w:r>
        <w:rPr>
          <w:bCs/>
          <w:b/>
        </w:rPr>
        <w:t xml:space="preserve">Societal:</w:t>
      </w:r>
      <w:r>
        <w:t xml:space="preserve"> </w:t>
      </w:r>
      <w:r>
        <w:t xml:space="preserve">Evidence-based recommendations to address gender disparities in legal leadership—currently only 18% of Dubai-based partners are women (Dubai Chamber, 2023)—through targeted mentorship frameworks.</w:t>
      </w:r>
    </w:p>
    <w:p>
      <w:pPr>
        <w:pStyle w:val="FirstParagraph"/>
      </w:pPr>
      <w:r>
        <w:t xml:space="preserve">The findings will directly support the UAE's Strategic Plan 2031 target of "enhancing legal services as a core economic pillar" by ensuring Lawyers are equipped for emerging challenges in AI regulation and sustainable investment law.</w:t>
      </w:r>
    </w:p>
    <w:bookmarkEnd w:id="25"/>
    <w:bookmarkStart w:id="26" w:name="X10b20992ce39a491045008c5589e8bd306cd7cd"/>
    <w:p>
      <w:pPr>
        <w:pStyle w:val="Heading2"/>
      </w:pPr>
      <w:r>
        <w:t xml:space="preserve">7. Significance for United Arab Emirates Dubai</w:t>
      </w:r>
    </w:p>
    <w:p>
      <w:pPr>
        <w:pStyle w:val="FirstParagraph"/>
      </w:pPr>
      <w:r>
        <w:t xml:space="preserve">As Dubai attracts $1.5 trillion in foreign direct investment annually (Dubai Department of Economic Development, 2023), the Lawyer's role is pivotal to maintaining trust in its commercial ecosystem. This research directly addresses UAE President Sheikh Mohamed bin Zayed's directive that "legal infrastructure must evolve as rapidly as economic development." By documenting how Lawyers navigate Dubai's unique legal duality—where a single case might involve DIFC Court procedures, UAE Commercial Code articles, and Sharia compliance—the Thesis Proposal provides actionable insights for:</w:t>
      </w:r>
    </w:p>
    <w:p>
      <w:pPr>
        <w:numPr>
          <w:ilvl w:val="0"/>
          <w:numId w:val="1005"/>
        </w:numPr>
        <w:pStyle w:val="Compact"/>
      </w:pPr>
      <w:r>
        <w:t xml:space="preserve">The Dubai International Financial Centre Authority to refine its Lawyer licensing protocols.</w:t>
      </w:r>
    </w:p>
    <w:p>
      <w:pPr>
        <w:numPr>
          <w:ilvl w:val="0"/>
          <w:numId w:val="1005"/>
        </w:numPr>
        <w:pStyle w:val="Compact"/>
      </w:pPr>
      <w:r>
        <w:t xml:space="preserve">Universities like the American University of Sharjah to redesign LLB curricula with Dubai-specific case studies.</w:t>
      </w:r>
    </w:p>
    <w:p>
      <w:pPr>
        <w:numPr>
          <w:ilvl w:val="0"/>
          <w:numId w:val="1005"/>
        </w:numPr>
        <w:pStyle w:val="Compact"/>
      </w:pPr>
      <w:r>
        <w:t xml:space="preserve">Government bodies in formulating the next National Legal Strategy (2025-2030).</w:t>
      </w:r>
    </w:p>
    <w:p>
      <w:pPr>
        <w:pStyle w:val="FirstParagraph"/>
      </w:pPr>
      <w:r>
        <w:t xml:space="preserve">Crucially, it moves beyond theoretical discourse to document real-world Lawyer experiences—such as how a Lawyer might draft contracts compliant with DIFC's English law standards while ensuring UAE mainland courts would enforce them—making it indispensable for Dubai's legal community.</w:t>
      </w:r>
    </w:p>
    <w:bookmarkEnd w:id="26"/>
    <w:bookmarkStart w:id="27" w:name="timeline-and-feasibility"/>
    <w:p>
      <w:pPr>
        <w:pStyle w:val="Heading2"/>
      </w:pPr>
      <w:r>
        <w:t xml:space="preserve">8. Timeline and Feasibility</w:t>
      </w:r>
    </w:p>
    <w:p>
      <w:pPr>
        <w:pStyle w:val="FirstParagraph"/>
      </w:pPr>
      <w:r>
        <w:t xml:space="preserve">The research will be completed within 14 months, aligning with the University of Dubai's thesis schedule. Phase 1 (Months 1-3): Literature review and ethics approval; Phase 2 (Months 4-8): Data collection via interviews/surveys; Phase 3 (Months 9-12): Thematic analysis and draft writing; Phase 4 (Months 13-14): Final revisions with UAE legal practitioners for validation. Feasibility is ensured through partnerships with Dubai Bar Association and DIFC Legal Department, granting access to practitioner networks previously unavailable to academic researchers.</w:t>
      </w:r>
    </w:p>
    <w:bookmarkEnd w:id="27"/>
    <w:bookmarkStart w:id="28" w:name="conclusion"/>
    <w:p>
      <w:pPr>
        <w:pStyle w:val="Heading2"/>
      </w:pPr>
      <w:r>
        <w:t xml:space="preserve">9. Conclusion</w:t>
      </w:r>
    </w:p>
    <w:p>
      <w:pPr>
        <w:pStyle w:val="FirstParagraph"/>
      </w:pPr>
      <w:r>
        <w:t xml:space="preserve">This Thesis Proposal establishes the critical need for understanding the modern Lawyer's evolving professional identity within United Arab Emirates Dubai—a jurisdiction where legal innovation directly drives economic competitiveness. By centering practitioner voices in an environment of unprecedented legal complexity, this research will generate evidence to shape future generations of Lawyers who can confidently navigate Dubai's dual legal frameworks while upholding international best practices. The findings will not merely contribute to academic discourse but provide immediate utility for the UAE government, law firms, and individual Lawyers striving to maintain Dubai's reputation as a world-class legal destination. As the UAE continues its journey toward becoming a global hub for justice, this Thesis Proposal positions itself as a necessary blueprint for professional excellence in one of the most dynamic legal markets on Earth.</w:t>
      </w:r>
    </w:p>
    <w:bookmarkEnd w:id="28"/>
    <w:bookmarkStart w:id="29" w:name="word-count-898"/>
    <w:p>
      <w:pPr>
        <w:pStyle w:val="Heading2"/>
      </w:pPr>
      <w: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Lawyer in United Arab Emirates Dubai Legal Landscape</dc:title>
  <dc:creator/>
  <dc:language>en</dc:language>
  <cp:keywords/>
  <dcterms:created xsi:type="dcterms:W3CDTF">2026-07-23T11:50:10Z</dcterms:created>
  <dcterms:modified xsi:type="dcterms:W3CDTF">2026-07-23T11:50:10Z</dcterms:modified>
</cp:coreProperties>
</file>

<file path=docProps/custom.xml><?xml version="1.0" encoding="utf-8"?>
<Properties xmlns="http://schemas.openxmlformats.org/officeDocument/2006/custom-properties" xmlns:vt="http://schemas.openxmlformats.org/officeDocument/2006/docPropsVTypes"/>
</file>