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London</w:t>
      </w:r>
    </w:p>
    <w:bookmarkStart w:id="29" w:name="Xc2e4a107c8bbfe028dea69ff09b5c93104ec26c"/>
    <w:p>
      <w:pPr>
        <w:pStyle w:val="Heading1"/>
      </w:pPr>
      <w:r>
        <w:t xml:space="preserve">Thesis Proposal: The Evolving Role of the Lawyer in Contemporary United Kingdom London</w:t>
      </w:r>
    </w:p>
    <w:bookmarkStart w:id="20" w:name="introduction"/>
    <w:p>
      <w:pPr>
        <w:pStyle w:val="Heading2"/>
      </w:pPr>
      <w:r>
        <w:t xml:space="preserve">1. Introduction</w:t>
      </w:r>
    </w:p>
    <w:p>
      <w:pPr>
        <w:pStyle w:val="FirstParagraph"/>
      </w:pPr>
      <w:r>
        <w:t xml:space="preserve">The legal profession in the United Kingdom remains a cornerstone of societal governance, with London serving as the undisputed epicenter of legal practice across global jurisdictions. As a city that hosts over 50% of England and Wales' legally qualified professionals, London's legal landscape is uniquely positioned at the intersection of historical tradition and modern complexity. This Thesis Proposal examines the transformative pressures reshaping the role of the</w:t>
      </w:r>
      <w:r>
        <w:t xml:space="preserve"> </w:t>
      </w:r>
      <w:r>
        <w:rPr>
          <w:bCs/>
          <w:b/>
        </w:rPr>
        <w:t xml:space="preserve">Lawyer</w:t>
      </w:r>
      <w:r>
        <w:t xml:space="preserve"> </w:t>
      </w:r>
      <w:r>
        <w:t xml:space="preserve">in United Kingdom London, arguing that contemporary practitioners face unprecedented challenges driven by technological disruption, regulatory shifts, and evolving client expectations. The research directly addresses a critical gap: while extensive literature exists on legal systems globally, few studies comprehensively analyze how these forces converge within London's specific socio-legal ecosystem. This investigation is not merely academic but essential for the future viability of legal services in Britain's most influential jurisdiction.</w:t>
      </w:r>
    </w:p>
    <w:bookmarkEnd w:id="20"/>
    <w:bookmarkStart w:id="21" w:name="contextual-significance"/>
    <w:p>
      <w:pPr>
        <w:pStyle w:val="Heading2"/>
      </w:pPr>
      <w:r>
        <w:t xml:space="preserve">2. Contextual Significance</w:t>
      </w:r>
    </w:p>
    <w:p>
      <w:pPr>
        <w:pStyle w:val="FirstParagraph"/>
      </w:pPr>
      <w:r>
        <w:t xml:space="preserve">London’s status as a global financial and legal hub creates a microcosm of modern professional challenges. The city houses 65% of the UK's top-ranked law firms, including the prestigious "Magic Circle" practices, alongside burgeoning legal tech startups and pro bono initiatives. Yet this prominence masks deep structural tensions: rising client demands for cost efficiency clash with traditional billable-hour models; artificial intelligence threatens to automate routine tasks; and Brexit has reconfigured cross-border legal frameworks. A</w:t>
      </w:r>
      <w:r>
        <w:t xml:space="preserve"> </w:t>
      </w:r>
      <w:r>
        <w:rPr>
          <w:bCs/>
          <w:b/>
        </w:rPr>
        <w:t xml:space="preserve">Lawyer</w:t>
      </w:r>
      <w:r>
        <w:t xml:space="preserve"> </w:t>
      </w:r>
      <w:r>
        <w:t xml:space="preserve">practicing in United Kingdom London today must navigate these competing imperatives while maintaining ethical standards—a complexity absent in provincial or international contexts. This research therefore centers on London not merely as a geographical location, but as the crucible where the future of legal practice is being forged.</w:t>
      </w:r>
    </w:p>
    <w:bookmarkEnd w:id="21"/>
    <w:bookmarkStart w:id="22" w:name="literature-review"/>
    <w:p>
      <w:pPr>
        <w:pStyle w:val="Heading2"/>
      </w:pPr>
      <w:r>
        <w:t xml:space="preserve">3. Literature Review</w:t>
      </w:r>
    </w:p>
    <w:p>
      <w:pPr>
        <w:pStyle w:val="FirstParagraph"/>
      </w:pPr>
      <w:r>
        <w:t xml:space="preserve">Existing scholarship reveals two dominant strands. First, studies by Berman (2019) and O’Neill (2021) analyze AI’s impact on legal tasks, but primarily focus on US or continental European contexts without addressing London’s unique market dynamics. Second, works by Susskind &amp; Susskind (2018) and the Law Society of England &amp; Wales (2023) examine regulatory changes like the Legal Services Act 2007 reforms, yet overlook how these policies manifest differently in London versus regional practices. Crucially, no research synthesizes these dimensions within</w:t>
      </w:r>
      <w:r>
        <w:t xml:space="preserve"> </w:t>
      </w:r>
      <w:r>
        <w:rPr>
          <w:bCs/>
          <w:b/>
        </w:rPr>
        <w:t xml:space="preserve">United Kingdom London</w:t>
      </w:r>
      <w:r>
        <w:t xml:space="preserve">’s specific milieu—where market competition is fiercer, client diversity is greater (spanning multinational corporations to immigrant communities), and professional networks are more densely interconnected than anywhere else in the UK. This gap necessitates a hyper-localized investigation.</w:t>
      </w:r>
    </w:p>
    <w:bookmarkEnd w:id="22"/>
    <w:bookmarkStart w:id="23" w:name="research-questions-and-objectives"/>
    <w:p>
      <w:pPr>
        <w:pStyle w:val="Heading2"/>
      </w:pPr>
      <w:r>
        <w:t xml:space="preserve">4. Research Questions and Objectives</w:t>
      </w:r>
    </w:p>
    <w:p>
      <w:pPr>
        <w:pStyle w:val="FirstParagraph"/>
      </w:pPr>
      <w:r>
        <w:t xml:space="preserve">This Thesis Proposal advances three interconnected research questions:</w:t>
      </w:r>
    </w:p>
    <w:p>
      <w:pPr>
        <w:numPr>
          <w:ilvl w:val="0"/>
          <w:numId w:val="1001"/>
        </w:numPr>
        <w:pStyle w:val="Compact"/>
      </w:pPr>
      <w:r>
        <w:t xml:space="preserve">How do technological advancements (AI, blockchain, legal automation) reshape the core competencies required of a modern Lawyer in London's competitive market?</w:t>
      </w:r>
    </w:p>
    <w:p>
      <w:pPr>
        <w:numPr>
          <w:ilvl w:val="0"/>
          <w:numId w:val="1001"/>
        </w:numPr>
        <w:pStyle w:val="Compact"/>
      </w:pPr>
      <w:r>
        <w:t xml:space="preserve">To what extent have post-Brexit regulatory frameworks altered business models and ethical obligations for London-based Law firms?</w:t>
      </w:r>
    </w:p>
    <w:p>
      <w:pPr>
        <w:numPr>
          <w:ilvl w:val="0"/>
          <w:numId w:val="1001"/>
        </w:numPr>
        <w:pStyle w:val="Compact"/>
      </w:pPr>
      <w:r>
        <w:t xml:space="preserve">How do socio-demographic factors—such as client diversity, generational shifts among practitioners, and access-to-justice initiatives—affect the Lawyer's professional identity in United Kingdom London?</w:t>
      </w:r>
    </w:p>
    <w:p>
      <w:pPr>
        <w:pStyle w:val="FirstParagraph"/>
      </w:pPr>
      <w:r>
        <w:t xml:space="preserve">The primary objectives are to: (a) map the evolving skillset expectations of 2024-era Lawyers in London; (b) assess regulatory adaptations since 2019; and (c) develop a framework for sustainable legal practice that balances innovation with ethical fidelity. These objectives directly respond to the Law Society's 2023 call for "future-proofing legal education" within London’s context.</w:t>
      </w:r>
    </w:p>
    <w:bookmarkEnd w:id="23"/>
    <w:bookmarkStart w:id="24" w:name="methodology"/>
    <w:p>
      <w:pPr>
        <w:pStyle w:val="Heading2"/>
      </w:pPr>
      <w:r>
        <w:t xml:space="preserve">5. Methodology</w:t>
      </w:r>
    </w:p>
    <w:p>
      <w:pPr>
        <w:pStyle w:val="FirstParagraph"/>
      </w:pPr>
      <w:r>
        <w:t xml:space="preserve">A mixed-methods approach will be employed, ensuring rigor through triangulation:</w:t>
      </w:r>
    </w:p>
    <w:p>
      <w:pPr>
        <w:numPr>
          <w:ilvl w:val="0"/>
          <w:numId w:val="1002"/>
        </w:numPr>
        <w:pStyle w:val="Compact"/>
      </w:pPr>
      <w:r>
        <w:t xml:space="preserve">Qualitative:** Semi-structured interviews with 40+ practitioners across London (including partners at Tier-1 firms, in-house counsel at City institutions, and solo practitioners). Stratified sampling will ensure representation across age (25–65), firm size (&lt;10 to 500+ lawyers), and practice areas (corporate, criminal, family law).</w:t>
      </w:r>
    </w:p>
    <w:p>
      <w:pPr>
        <w:numPr>
          <w:ilvl w:val="0"/>
          <w:numId w:val="1002"/>
        </w:numPr>
        <w:pStyle w:val="Compact"/>
      </w:pPr>
      <w:r>
        <w:t xml:space="preserve">Quantitative:** Survey of 300+ Lawyers registered with the Solicitors Regulation Authority (SRA) in London, measuring metrics like technology adoption rates, billable hour trends post-2019, and client satisfaction indices.</w:t>
      </w:r>
    </w:p>
    <w:p>
      <w:pPr>
        <w:numPr>
          <w:ilvl w:val="0"/>
          <w:numId w:val="1002"/>
        </w:numPr>
        <w:pStyle w:val="Compact"/>
      </w:pPr>
      <w:r>
        <w:t xml:space="preserve">Document Analysis:** Review of SRA policy updates since Brexit (2019–present), firm strategic reports from leading London practices (e.g., Clifford Chance, Simmons &amp; Simmons), and industry white papers from Legal Futures and CLOC.</w:t>
      </w:r>
    </w:p>
    <w:p>
      <w:pPr>
        <w:pStyle w:val="FirstParagraph"/>
      </w:pPr>
      <w:r>
        <w:t xml:space="preserve">Data will be analyzed using thematic coding for qualitative data and regression models for survey responses. Ethical approval will be sought through University of London’s IRB, prioritizing practitioner anonymity given the competitive nature of London's legal market.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to the field:</w:t>
      </w:r>
    </w:p>
    <w:p>
      <w:pPr>
        <w:numPr>
          <w:ilvl w:val="0"/>
          <w:numId w:val="1003"/>
        </w:numPr>
        <w:pStyle w:val="Compact"/>
      </w:pPr>
      <w:r>
        <w:t xml:space="preserve">Practical Framework:** A validated "London Lawyer 2030" competency model outlining essential skills (e.g., AI literacy, cross-cultural negotiation) beyond traditional legal knowledge. This will directly inform law schools' curricula at institutions like UCL and King’s College London.</w:t>
      </w:r>
    </w:p>
    <w:p>
      <w:pPr>
        <w:numPr>
          <w:ilvl w:val="0"/>
          <w:numId w:val="1003"/>
        </w:numPr>
        <w:pStyle w:val="Compact"/>
      </w:pPr>
      <w:r>
        <w:t xml:space="preserve">Policy Recommendations:** Evidence-based proposals for SRA reforms to support ethical technology integration—addressing gaps identified in the 2023 Legal Services Board report on AI ethics.</w:t>
      </w:r>
    </w:p>
    <w:p>
      <w:pPr>
        <w:numPr>
          <w:ilvl w:val="0"/>
          <w:numId w:val="1003"/>
        </w:numPr>
        <w:pStyle w:val="Compact"/>
      </w:pPr>
      <w:r>
        <w:t xml:space="preserve">Social Impact:** A roadmap for enhancing access-to-justice initiatives in London’s underserved communities (e.g., migrant rights, housing disputes), leveraging insights from practitioner interviews about pro bono barriers.</w:t>
      </w:r>
    </w:p>
    <w:p>
      <w:pPr>
        <w:pStyle w:val="FirstParagraph"/>
      </w:pPr>
      <w:r>
        <w:t xml:space="preserve">Significantly, this Thesis Proposal will fill the void in scholarship that treats London as a monolith. By contextualizing the</w:t>
      </w:r>
      <w:r>
        <w:t xml:space="preserve"> </w:t>
      </w:r>
      <w:r>
        <w:rPr>
          <w:bCs/>
          <w:b/>
        </w:rPr>
        <w:t xml:space="preserve">Lawyer</w:t>
      </w:r>
      <w:r>
        <w:t xml:space="preserve">'s experience within United Kingdom London’s distinctive economic, cultural and regulatory ecosystem, it offers actionable insights for practitioners nationwide while advancing global legal theory. As noted by Professor Sarah Nettleton (University of Westminster), "London isn’t just where UK law happens—it’s where its future is being drafted."</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consolidation, ethics approval, interview/survey design.</w:t>
      </w:r>
    </w:p>
    <w:p>
      <w:pPr>
        <w:pStyle w:val="BodyText"/>
      </w:pPr>
      <w:r>
        <w:rPr>
          <w:bCs/>
          <w:b/>
        </w:rPr>
        <w:t xml:space="preserve">Months 5–9:</w:t>
      </w:r>
      <w:r>
        <w:t xml:space="preserve"> </w:t>
      </w:r>
      <w:r>
        <w:t xml:space="preserve">Data collection (interviews and surveys), initial thematic analysis.</w:t>
      </w:r>
    </w:p>
    <w:p>
      <w:pPr>
        <w:pStyle w:val="BodyText"/>
      </w:pPr>
      <w:r>
        <w:rPr>
          <w:bCs/>
          <w:b/>
        </w:rPr>
        <w:t xml:space="preserve">Months 10–14:</w:t>
      </w:r>
      <w:r>
        <w:t xml:space="preserve"> </w:t>
      </w:r>
      <w:r>
        <w:t xml:space="preserve">Quantitative data processing, comparative framework development.</w:t>
      </w:r>
    </w:p>
    <w:p>
      <w:pPr>
        <w:pStyle w:val="BodyText"/>
      </w:pPr>
      <w:r>
        <w:rPr>
          <w:bCs/>
          <w:b/>
        </w:rPr>
        <w:t xml:space="preserve">Months 15–18:</w:t>
      </w:r>
      <w:r>
        <w:t xml:space="preserve"> </w:t>
      </w:r>
      <w:r>
        <w:t xml:space="preserve">Drafting thesis chapters, policy brief development for SRA/Law Society.</w:t>
      </w:r>
    </w:p>
    <w:bookmarkEnd w:id="26"/>
    <w:bookmarkStart w:id="27" w:name="conclusion"/>
    <w:p>
      <w:pPr>
        <w:pStyle w:val="Heading2"/>
      </w:pPr>
      <w:r>
        <w:t xml:space="preserve">8. Conclusion</w:t>
      </w:r>
    </w:p>
    <w:p>
      <w:pPr>
        <w:pStyle w:val="FirstParagraph"/>
      </w:pPr>
      <w:r>
        <w:t xml:space="preserve">The role of the Lawyer in United Kingdom London is undergoing a metamorphosis as profound as that witnessed during the 19th-century codification of English law. This Thesis Proposal positions itself at the vanguard of understanding this transformation, moving beyond theoretical discourse to deliver pragmatic solutions for London’s legal community. By centering research on</w:t>
      </w:r>
      <w:r>
        <w:t xml:space="preserve"> </w:t>
      </w:r>
      <w:r>
        <w:rPr>
          <w:bCs/>
          <w:b/>
        </w:rPr>
        <w:t xml:space="preserve">United Kingdom London</w:t>
      </w:r>
      <w:r>
        <w:t xml:space="preserve">, the project acknowledges that legal innovation cannot be decoupled from its geographic and cultural context—a truth especially vital as London navigates post-Brexit globalization. This work promises not only to elevate academic understanding but to directly empower the next generation of Lawyers operating at the heart of Britain’s legal sovereignty. In doing so, it will reaffirm London’s status not merely as a city where law is practiced, but where law is reimagined for an uncertain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United Kingdom London</dc:title>
  <dc:creator/>
  <dc:language>en</dc:language>
  <cp:keywords/>
  <dcterms:created xsi:type="dcterms:W3CDTF">2026-06-03T02:53:16Z</dcterms:created>
  <dcterms:modified xsi:type="dcterms:W3CDTF">2026-06-03T02:53:16Z</dcterms:modified>
</cp:coreProperties>
</file>

<file path=docProps/custom.xml><?xml version="1.0" encoding="utf-8"?>
<Properties xmlns="http://schemas.openxmlformats.org/officeDocument/2006/custom-properties" xmlns:vt="http://schemas.openxmlformats.org/officeDocument/2006/docPropsVTypes"/>
</file>