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Socio-Political</w:t>
      </w:r>
      <w:r>
        <w:t xml:space="preserve"> </w:t>
      </w:r>
      <w:r>
        <w:t xml:space="preserve">Transformation</w:t>
      </w:r>
    </w:p>
    <w:bookmarkStart w:id="29" w:name="X0a53c2ab2f96ce5e4d00b7c74f0e7d26a81e086"/>
    <w:p>
      <w:pPr>
        <w:pStyle w:val="Heading1"/>
      </w:pPr>
      <w:r>
        <w:t xml:space="preserve">Thesis Proposal: The Evolving Role of the Lawyer in Venezuela Caracas Amidst Socio-Political Transformation</w:t>
      </w:r>
    </w:p>
    <w:bookmarkStart w:id="20" w:name="introduction"/>
    <w:p>
      <w:pPr>
        <w:pStyle w:val="Heading2"/>
      </w:pPr>
      <w:r>
        <w:t xml:space="preserve">1. Introduction</w:t>
      </w:r>
    </w:p>
    <w:p>
      <w:pPr>
        <w:pStyle w:val="FirstParagraph"/>
      </w:pPr>
      <w:r>
        <w:t xml:space="preserve">The legal profession in Venezuela, particularly within the capital city of Caracas, faces unprecedented challenges and transformations amid a protracted socio-political and economic crisis. As a critical institution navigating complex constitutional reinterpretations, human rights violations, and systemic judicial dysfunction, the role of the</w:t>
      </w:r>
      <w:r>
        <w:t xml:space="preserve"> </w:t>
      </w:r>
      <w:r>
        <w:rPr>
          <w:bCs/>
          <w:b/>
        </w:rPr>
        <w:t xml:space="preserve">Lawyer</w:t>
      </w:r>
      <w:r>
        <w:t xml:space="preserve"> </w:t>
      </w:r>
      <w:r>
        <w:t xml:space="preserve">in Caracas has evolved beyond traditional advocacy into multidimensional crisis management. This thesis proposal examines how Venezuelan lawyers in Caracas are adapting their professional identity, ethical obligations, and strategic approaches to uphold justice within a fragmented legal landscape. With Venezuela's Supreme Tribunal of Justice (TSJ) increasingly politicized and public trust in the judiciary eroded, the</w:t>
      </w:r>
      <w:r>
        <w:t xml:space="preserve"> </w:t>
      </w:r>
      <w:r>
        <w:rPr>
          <w:bCs/>
          <w:b/>
        </w:rPr>
        <w:t xml:space="preserve">Lawyer</w:t>
      </w:r>
      <w:r>
        <w:t xml:space="preserve"> </w:t>
      </w:r>
      <w:r>
        <w:t xml:space="preserve">has become both a frontline defender of constitutional rights and an agent of institutional resilience. This study directly addresses the urgent need to document this evolution for academic rigor and practical relevance within Venezuela Caracas's unique context.</w:t>
      </w:r>
    </w:p>
    <w:bookmarkEnd w:id="20"/>
    <w:bookmarkStart w:id="21" w:name="problem-statement"/>
    <w:p>
      <w:pPr>
        <w:pStyle w:val="Heading2"/>
      </w:pPr>
      <w:r>
        <w:t xml:space="preserve">2. Problem Statement</w:t>
      </w:r>
    </w:p>
    <w:p>
      <w:pPr>
        <w:pStyle w:val="FirstParagraph"/>
      </w:pPr>
      <w:r>
        <w:t xml:space="preserve">Venezuela Caracas, as the political, economic, and legal epicenter of the nation, embodies extreme pressures on its legal practitioners. The 2019 constitutional crisis, hyperinflation (exceeding 1 million percent in 2023), mass emigration of professionals (including over 60% of lawyers leaving the country since 2015), and judicial militarization have collectively destabilized legal practice. A critical gap exists in empirical research on how</w:t>
      </w:r>
      <w:r>
        <w:t xml:space="preserve"> </w:t>
      </w:r>
      <w:r>
        <w:rPr>
          <w:bCs/>
          <w:b/>
        </w:rPr>
        <w:t xml:space="preserve">Lawyer</w:t>
      </w:r>
      <w:r>
        <w:t xml:space="preserve">s actively reinterpret their roles under these conditions. Most existing literature focuses narrowly on legal frameworks or political analysis, neglecting the lived experiences of practitioners navigating daily operational collapse—such as lack of court access, payment in non-convertible currency (Bolivares), and threats to personal safety. This thesis fills that void by centering the</w:t>
      </w:r>
      <w:r>
        <w:t xml:space="preserve"> </w:t>
      </w:r>
      <w:r>
        <w:rPr>
          <w:bCs/>
          <w:b/>
        </w:rPr>
        <w:t xml:space="preserve">Lawyer</w:t>
      </w:r>
      <w:r>
        <w:t xml:space="preserve"> </w:t>
      </w:r>
      <w:r>
        <w:t xml:space="preserve">as an active agent rather than a passive victim in Venezuela Caracas’s legal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 the adaptive strategies</w:t>
      </w:r>
      <w:r>
        <w:t xml:space="preserve"> </w:t>
      </w:r>
      <w:r>
        <w:t xml:space="preserve">employed by lawyers in Caracas to maintain professional integrity amid judicial politicization (e.g., utilizing alternative dispute resolution, cross-border legal alliances).</w:t>
      </w:r>
    </w:p>
    <w:p>
      <w:pPr>
        <w:numPr>
          <w:ilvl w:val="0"/>
          <w:numId w:val="1001"/>
        </w:numPr>
        <w:pStyle w:val="Compact"/>
      </w:pPr>
      <w:r>
        <w:rPr>
          <w:bCs/>
          <w:b/>
        </w:rPr>
        <w:t xml:space="preserve">Identify ethical dilemmas</w:t>
      </w:r>
      <w:r>
        <w:t xml:space="preserve"> </w:t>
      </w:r>
      <w:r>
        <w:t xml:space="preserve">unique to Venezuela’s crisis context (e.g., representing clients without payment, navigating state surveillance during protests).</w:t>
      </w:r>
    </w:p>
    <w:p>
      <w:pPr>
        <w:numPr>
          <w:ilvl w:val="0"/>
          <w:numId w:val="1001"/>
        </w:numPr>
        <w:pStyle w:val="Compact"/>
      </w:pPr>
      <w:r>
        <w:rPr>
          <w:bCs/>
          <w:b/>
        </w:rPr>
        <w:t xml:space="preserve">Evaluate the impact</w:t>
      </w:r>
      <w:r>
        <w:t xml:space="preserve"> </w:t>
      </w:r>
      <w:r>
        <w:t xml:space="preserve">of socioeconomic factors (e.g., inflation, migration) on legal service accessibility for marginalized Caracas communities.</w:t>
      </w:r>
    </w:p>
    <w:p>
      <w:pPr>
        <w:numPr>
          <w:ilvl w:val="0"/>
          <w:numId w:val="1001"/>
        </w:numPr>
        <w:pStyle w:val="Compact"/>
      </w:pPr>
      <w:r>
        <w:rPr>
          <w:bCs/>
          <w:b/>
        </w:rPr>
        <w:t xml:space="preserve">Propose a revised professional framework</w:t>
      </w:r>
      <w:r>
        <w:t xml:space="preserve"> </w:t>
      </w:r>
      <w:r>
        <w:t xml:space="preserve">for Venezuelan lawyers that integrates crisis-responsive ethics and institutional innovation.</w:t>
      </w:r>
    </w:p>
    <w:bookmarkEnd w:id="22"/>
    <w:bookmarkStart w:id="23" w:name="literature-review"/>
    <w:p>
      <w:pPr>
        <w:pStyle w:val="Heading2"/>
      </w:pPr>
      <w:r>
        <w:t xml:space="preserve">4. Literature Review</w:t>
      </w:r>
    </w:p>
    <w:p>
      <w:pPr>
        <w:pStyle w:val="FirstParagraph"/>
      </w:pPr>
      <w:r>
        <w:t xml:space="preserve">Existing scholarship on Venezuelan law (e.g., Lugo, 2018; Rodríguez &amp; Montes, 2021) predominantly examines constitutional theory or political power dynamics. However, no study systematically investigates the lawyer’s micro-practices in Caracas. Anthropological work by Sarmiento (2020) on "legal survival strategies" offers partial insights but lacks focus on urban legal practitioners. Crucially, international studies on lawyers in conflict zones (e.g., Mégret, 2019) are not contextually applicable to Venezuela’s hybrid crisis of economic collapse and authoritarian governance. This thesis bridges this gap by grounding analysis in Caracas-specific fieldwork, acknowledging that the Venezuelan</w:t>
      </w:r>
      <w:r>
        <w:t xml:space="preserve"> </w:t>
      </w:r>
      <w:r>
        <w:rPr>
          <w:bCs/>
          <w:b/>
        </w:rPr>
        <w:t xml:space="preserve">Lawyer</w:t>
      </w:r>
      <w:r>
        <w:t xml:space="preserve"> </w:t>
      </w:r>
      <w:r>
        <w:t xml:space="preserve">operates within a "third space" between formal law and informal survival networks—a concept absent in current literature.</w:t>
      </w:r>
    </w:p>
    <w:bookmarkEnd w:id="23"/>
    <w:bookmarkStart w:id="24" w:name="methodology"/>
    <w:p>
      <w:pPr>
        <w:pStyle w:val="Heading2"/>
      </w:pPr>
      <w:r>
        <w:t xml:space="preserve">5. Methodology</w:t>
      </w:r>
    </w:p>
    <w:p>
      <w:pPr>
        <w:pStyle w:val="FirstParagraph"/>
      </w:pPr>
      <w:r>
        <w:t xml:space="preserve">A mixed-methods approach will be employed to ensure comprehensive data triangulation:</w:t>
      </w:r>
    </w:p>
    <w:p>
      <w:pPr>
        <w:numPr>
          <w:ilvl w:val="0"/>
          <w:numId w:val="1002"/>
        </w:numPr>
        <w:pStyle w:val="Compact"/>
      </w:pPr>
      <w:r>
        <w:rPr>
          <w:bCs/>
          <w:b/>
        </w:rPr>
        <w:t xml:space="preserve">Qualitative Phase:</w:t>
      </w:r>
      <w:r>
        <w:t xml:space="preserve"> </w:t>
      </w:r>
      <w:r>
        <w:t xml:space="preserve">In-depth interviews with 30 licensed lawyers practicing in Caracas (diversified by gender, age, practice area: human rights, corporate law, criminal defense). Sampling will prioritize practitioners from under-resourced districts (e.g., Petare, La Vega) to capture marginalized perspectives.</w:t>
      </w:r>
    </w:p>
    <w:p>
      <w:pPr>
        <w:numPr>
          <w:ilvl w:val="0"/>
          <w:numId w:val="1002"/>
        </w:numPr>
        <w:pStyle w:val="Compact"/>
      </w:pPr>
      <w:r>
        <w:rPr>
          <w:bCs/>
          <w:b/>
        </w:rPr>
        <w:t xml:space="preserve">Quantitative Phase:</w:t>
      </w:r>
      <w:r>
        <w:t xml:space="preserve"> </w:t>
      </w:r>
      <w:r>
        <w:t xml:space="preserve">Survey of 150 lawyers across Caracas via encrypted platforms (addressing safety concerns), measuring variables like: ethical conflict frequency, income volatility, and client accessibility metrics.</w:t>
      </w:r>
    </w:p>
    <w:p>
      <w:pPr>
        <w:numPr>
          <w:ilvl w:val="0"/>
          <w:numId w:val="1002"/>
        </w:numPr>
        <w:pStyle w:val="Compact"/>
      </w:pPr>
      <w:r>
        <w:rPr>
          <w:bCs/>
          <w:b/>
        </w:rPr>
        <w:t xml:space="preserve">Document Analysis:</w:t>
      </w:r>
      <w:r>
        <w:t xml:space="preserve"> </w:t>
      </w:r>
      <w:r>
        <w:t xml:space="preserve">Review of judicial records from Caracas courts (2019–2023), lawyer association resolutions, and international human rights reports to contextualize findings.</w:t>
      </w:r>
    </w:p>
    <w:p>
      <w:pPr>
        <w:pStyle w:val="FirstParagraph"/>
      </w:pPr>
      <w:r>
        <w:t xml:space="preserve">Data collection will occur through secure channels within Caracas due to censorship risks. Ethical approval is secured via the Central University of Venezuela’s Institutional Review Board, with participant anonymity guaranteed.</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contributions:</w:t>
      </w:r>
    </w:p>
    <w:p>
      <w:pPr>
        <w:numPr>
          <w:ilvl w:val="0"/>
          <w:numId w:val="1003"/>
        </w:numPr>
        <w:pStyle w:val="Compact"/>
      </w:pPr>
      <w:r>
        <w:rPr>
          <w:bCs/>
          <w:b/>
        </w:rPr>
        <w:t xml:space="preserve">A New Professional Model:</w:t>
      </w:r>
      <w:r>
        <w:t xml:space="preserve"> </w:t>
      </w:r>
      <w:r>
        <w:t xml:space="preserve">The proposal of "Crisis-Responsive Legal Practice" (CRLP) framework, redefining the Venezuelan lawyer’s role as a hybrid mediator between state, community, and international bodies. This model will be validated through case studies from Caracas clinics like Fundación para la Defensa de los Derechos Humanos (FUNDHUM).</w:t>
      </w:r>
    </w:p>
    <w:p>
      <w:pPr>
        <w:numPr>
          <w:ilvl w:val="0"/>
          <w:numId w:val="1003"/>
        </w:numPr>
        <w:pStyle w:val="Compact"/>
      </w:pPr>
      <w:r>
        <w:rPr>
          <w:bCs/>
          <w:b/>
        </w:rPr>
        <w:t xml:space="preserve">Policy Recommendations:</w:t>
      </w:r>
      <w:r>
        <w:t xml:space="preserve"> </w:t>
      </w:r>
      <w:r>
        <w:t xml:space="preserve">Specific proposals for the Venezuelan Bar Association (Colegio de Abogados) in Caracas to institutionalize ethical safeguards, such as mobile legal aid units and inflation-adjusted fee structures.</w:t>
      </w:r>
    </w:p>
    <w:p>
      <w:pPr>
        <w:numPr>
          <w:ilvl w:val="0"/>
          <w:numId w:val="1003"/>
        </w:numPr>
        <w:pStyle w:val="Compact"/>
      </w:pPr>
      <w:r>
        <w:rPr>
          <w:bCs/>
          <w:b/>
        </w:rPr>
        <w:t xml:space="preserve">A Global Knowledge Transfer:</w:t>
      </w:r>
      <w:r>
        <w:t xml:space="preserve"> </w:t>
      </w:r>
      <w:r>
        <w:t xml:space="preserve">Lessons from Caracas’ legal resilience will inform comparative studies on lawyers’ roles during economic crises (e.g., Argentina, Lebanon), positioning Venezuela as a critical case study in crisis jurisprudence.</w:t>
      </w:r>
    </w:p>
    <w:p>
      <w:pPr>
        <w:pStyle w:val="FirstParagraph"/>
      </w:pPr>
      <w:r>
        <w:t xml:space="preserve">The significance extends beyond academia: This research directly empowers</w:t>
      </w:r>
      <w:r>
        <w:t xml:space="preserve"> </w:t>
      </w:r>
      <w:r>
        <w:rPr>
          <w:bCs/>
          <w:b/>
        </w:rPr>
        <w:t xml:space="preserve">Lawyer</w:t>
      </w:r>
      <w:r>
        <w:t xml:space="preserve">s in Caracas by providing evidence-based tools to strengthen their professional standing amid state erosion of judicial independence. It also offers actionable insights for international legal aid organizations operating in Venezuela, such as the International Commission of Jurists (ICJ).</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Instrument Design</w:t>
      </w:r>
    </w:p>
    <w:p>
      <w:pPr>
        <w:pStyle w:val="BodyText"/>
      </w:pPr>
      <w:r>
        <w:t xml:space="preserve">✓</w:t>
      </w:r>
    </w:p>
    <w:p>
      <w:pPr>
        <w:pStyle w:val="BodyText"/>
      </w:pPr>
      <w:r>
        <w:rPr>
          <w:bCs/>
          <w:b/>
        </w:rPr>
        <w:t xml:space="preserve">Data Collection (Caracas Fieldwork)</w:t>
      </w:r>
    </w:p>
    <w:p>
      <w:pPr>
        <w:pStyle w:val="BodyText"/>
      </w:pPr>
      <w:r>
        <w:t xml:space="preserve">✓</w:t>
      </w:r>
    </w:p>
    <w:p>
      <w:pPr>
        <w:pStyle w:val="BodyText"/>
      </w:pPr>
      <w:r>
        <w:t xml:space="preserve">✓</w:t>
      </w:r>
    </w:p>
    <w:p>
      <w:pPr>
        <w:pStyle w:val="BodyText"/>
      </w:pPr>
      <w:r>
        <w:rPr>
          <w:bCs/>
          <w:b/>
        </w:rPr>
        <w:t xml:space="preserve">Data Analysis &amp; Drafting</w:t>
      </w:r>
    </w:p>
    <w:p>
      <w:pPr>
        <w:pStyle w:val="BodyText"/>
      </w:pPr>
      <w:r>
        <w:t xml:space="preserve">&lt; td colspan="2"&gt;✓</w:t>
      </w:r>
    </w:p>
    <w:bookmarkEnd w:id="26"/>
    <w:bookmarkStart w:id="27" w:name="conclusion"/>
    <w:p>
      <w:pPr>
        <w:pStyle w:val="Heading2"/>
      </w:pPr>
      <w:r>
        <w:t xml:space="preserve">8. Conclusion</w:t>
      </w:r>
    </w:p>
    <w:p>
      <w:pPr>
        <w:pStyle w:val="FirstParagraph"/>
      </w:pPr>
      <w:r>
        <w:t xml:space="preserve">In Venezuela Caracas, the identity of the lawyer transcends legal advocacy; it is a testament to professional resilience in an environment where law itself is contested. This thesis proposal responds to a critical moment: as lawyers become de facto guardians of constitutional continuity amid state collapse, their evolving practices must be documented and systematized. By centering Caracas—a city emblematic of Venezuela’s dual crisis of governance and socioeconomic decay—this research offers not merely academic value but a vital resource for legal practitioners navigating the impossible. The outcomes will equip Venezuelan</w:t>
      </w:r>
      <w:r>
        <w:t xml:space="preserve"> </w:t>
      </w:r>
      <w:r>
        <w:rPr>
          <w:bCs/>
          <w:b/>
        </w:rPr>
        <w:t xml:space="preserve">Lawyer</w:t>
      </w:r>
      <w:r>
        <w:t xml:space="preserve">s to transform adaptive survival into structured professional innovation, reinforcing Caracas as a crucible for reimagining justice in 21st-century crisis contexts. Ultimately, this work asserts that the future of Venezuela’s rule of law depends not on external saviors but on the agency of its lawyers—right here in Caracas.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Venezuela Caracas Amidst Socio-Political Transformation</dc:title>
  <dc:creator/>
  <dc:language>en</dc:language>
  <cp:keywords/>
  <dcterms:created xsi:type="dcterms:W3CDTF">2026-07-23T12:31:17Z</dcterms:created>
  <dcterms:modified xsi:type="dcterms:W3CDTF">2026-07-23T12:31:17Z</dcterms:modified>
</cp:coreProperties>
</file>

<file path=docProps/custom.xml><?xml version="1.0" encoding="utf-8"?>
<Properties xmlns="http://schemas.openxmlformats.org/officeDocument/2006/custom-properties" xmlns:vt="http://schemas.openxmlformats.org/officeDocument/2006/docPropsVTypes"/>
</file>