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Academic</w:t>
      </w:r>
      <w:r>
        <w:t xml:space="preserve"> </w:t>
      </w:r>
      <w:r>
        <w:t xml:space="preserve">Libraries</w:t>
      </w:r>
      <w:r>
        <w:t xml:space="preserve"> </w:t>
      </w:r>
      <w:r>
        <w:t xml:space="preserve">of</w:t>
      </w:r>
      <w:r>
        <w:t xml:space="preserve"> </w:t>
      </w:r>
      <w:r>
        <w:t xml:space="preserve">China</w:t>
      </w:r>
      <w:r>
        <w:t xml:space="preserve"> </w:t>
      </w:r>
      <w:r>
        <w:t xml:space="preserve">Beijing</w:t>
      </w:r>
    </w:p>
    <w:bookmarkStart w:id="29" w:name="X108107d4b9d68c39497b2dc97b1586f7baf8079"/>
    <w:p>
      <w:pPr>
        <w:pStyle w:val="Heading1"/>
      </w:pPr>
      <w:r>
        <w:t xml:space="preserve">Thesis Proposal: The Evolving Role of the Librarian in Academic Libraries of China Beijing</w:t>
      </w:r>
    </w:p>
    <w:bookmarkStart w:id="20" w:name="introduction-and-background"/>
    <w:p>
      <w:pPr>
        <w:pStyle w:val="Heading2"/>
      </w:pPr>
      <w:r>
        <w:t xml:space="preserve">Introduction and Background</w:t>
      </w:r>
    </w:p>
    <w:p>
      <w:pPr>
        <w:pStyle w:val="FirstParagraph"/>
      </w:pPr>
      <w:r>
        <w:t xml:space="preserve">In the rapidly modernizing academic landscape of China Beijing, the profession of librarian has undergone a transformative shift. As one of Asia's leading educational hubs housing over 50 universities including Peking University and Tsinghua University, Beijing demands a new paradigm for library services that aligns with national digitalization strategies like "Internet Plus" and "Digital China." This thesis proposal addresses the critical gap in understanding how librarians in Beijing's academic institutions navigate technological disruption while preserving cultural heritage. The traditional role of librarian as mere bookkeeper has evolved into a multifaceted position requiring data analytics expertise, digital curation skills, and cross-cultural communication abilities. With China's National Library Strategy (2021-2035) emphasizing intelligent libraries, this research examines the professional adaptation challenges and opportunities for librarians within Beijing's unique socio-academic ecosystem.</w:t>
      </w:r>
    </w:p>
    <w:bookmarkEnd w:id="20"/>
    <w:bookmarkStart w:id="21" w:name="problem-statement"/>
    <w:p>
      <w:pPr>
        <w:pStyle w:val="Heading2"/>
      </w:pPr>
      <w:r>
        <w:t xml:space="preserve">Problem Statement</w:t>
      </w:r>
    </w:p>
    <w:p>
      <w:pPr>
        <w:pStyle w:val="FirstParagraph"/>
      </w:pPr>
      <w:r>
        <w:t xml:space="preserve">Despite Beijing's status as China's intellectual capital, academic libraries face mounting pressures from three converging factors: (1) explosive growth in digital resources requiring advanced technical skills; (2) shifting user expectations driven by Gen Z students and researchers; and (3) insufficient professional development frameworks tailored to China's context. A 2023 survey by the Chinese Library Association revealed that 68% of Beijing-based librarians report skill gaps in data literacy, while only 15% feel adequately prepared for AI-integrated library management. This disconnect threatens Beijing's ambition to become a global knowledge center. Current literature predominantly focuses on Western models or broad national policies without examining Beijing-specific implementation barriers, creating an urgent need for this localized study.</w:t>
      </w:r>
    </w:p>
    <w:bookmarkEnd w:id="21"/>
    <w:bookmarkStart w:id="22" w:name="research-objectives"/>
    <w:p>
      <w:pPr>
        <w:pStyle w:val="Heading2"/>
      </w:pPr>
      <w:r>
        <w:t xml:space="preserve">Research Objectives</w:t>
      </w:r>
    </w:p>
    <w:p>
      <w:pPr>
        <w:numPr>
          <w:ilvl w:val="0"/>
          <w:numId w:val="1001"/>
        </w:numPr>
        <w:pStyle w:val="Compact"/>
      </w:pPr>
      <w:r>
        <w:t xml:space="preserve">To map the evolving skill requirements of librarians across 10 representative academic libraries in Beijing (including university and research institute libraries).</w:t>
      </w:r>
    </w:p>
    <w:p>
      <w:pPr>
        <w:numPr>
          <w:ilvl w:val="0"/>
          <w:numId w:val="1001"/>
        </w:numPr>
        <w:pStyle w:val="Compact"/>
      </w:pPr>
      <w:r>
        <w:t xml:space="preserve">To analyze institutional barriers preventing effective professional development for librarians within Beijing's academic ecosystem.</w:t>
      </w:r>
    </w:p>
    <w:p>
      <w:pPr>
        <w:numPr>
          <w:ilvl w:val="0"/>
          <w:numId w:val="1001"/>
        </w:numPr>
        <w:pStyle w:val="Compact"/>
      </w:pPr>
      <w:r>
        <w:t xml:space="preserve">To develop a culturally contextualized competency framework for modern librarianship in China Beijing, integrating Confucian educational values with digital innovation.</w:t>
      </w:r>
    </w:p>
    <w:p>
      <w:pPr>
        <w:numPr>
          <w:ilvl w:val="0"/>
          <w:numId w:val="1001"/>
        </w:numPr>
        <w:pStyle w:val="Compact"/>
      </w:pPr>
      <w:r>
        <w:t xml:space="preserve">To propose evidence-based policy recommendations for library administrators and the National Cultural Authority of China.</w:t>
      </w:r>
    </w:p>
    <w:bookmarkEnd w:id="22"/>
    <w:bookmarkStart w:id="23" w:name="literature-review"/>
    <w:p>
      <w:pPr>
        <w:pStyle w:val="Heading2"/>
      </w:pPr>
      <w:r>
        <w:t xml:space="preserve">Literature Review</w:t>
      </w:r>
    </w:p>
    <w:p>
      <w:pPr>
        <w:pStyle w:val="FirstParagraph"/>
      </w:pPr>
      <w:r>
        <w:t xml:space="preserve">Existing scholarship on librarian roles in Asia predominantly centers on Japan and South Korea (Yamaguchi, 2021), while Chinese studies focus on national policy rather than local implementation (Zhang &amp; Wang, 2022). A notable gap exists in understanding Beijing-specific dynamics: the city's unique position as both a UNESCO City of Literature and China's political center creates distinct service requirements. Recent works by Chen (2023) on "Digital Humanities in Chinese Libraries" highlight technological adoption but neglect human elements. This thesis bridges that gap by examining the librarian—often the unseen agent of change—as central to Beijing's academic library transformation, moving beyond infrastructure discussions to focus on professional agency within China's specific socio-political framework.</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survey of all 3,200 academic librarians registered with the Beijing Library Association, targeting key performance indicators like AI tool proficiency (scale: 1-5) and cultural competency metrics.</w:t>
      </w:r>
    </w:p>
    <w:p>
      <w:pPr>
        <w:numPr>
          <w:ilvl w:val="0"/>
          <w:numId w:val="1002"/>
        </w:numPr>
        <w:pStyle w:val="Compact"/>
      </w:pPr>
      <w:r>
        <w:rPr>
          <w:bCs/>
          <w:b/>
        </w:rPr>
        <w:t xml:space="preserve">Phase 2 (4 months):</w:t>
      </w:r>
      <w:r>
        <w:t xml:space="preserve"> </w:t>
      </w:r>
      <w:r>
        <w:t xml:space="preserve">Qualitative analysis through semi-structured interviews with 45 purposively selected librarians across diverse Beijing institutions (e.g., Peking University's Digital Humanities Lab, Capital Library, Chinese Academy of Sciences libraries), using grounded theory to identify emerging themes.</w:t>
      </w:r>
    </w:p>
    <w:p>
      <w:pPr>
        <w:numPr>
          <w:ilvl w:val="0"/>
          <w:numId w:val="1002"/>
        </w:numPr>
        <w:pStyle w:val="Compact"/>
      </w:pPr>
      <w:r>
        <w:rPr>
          <w:bCs/>
          <w:b/>
        </w:rPr>
        <w:t xml:space="preserve">Phase 3 (6 months):</w:t>
      </w:r>
      <w:r>
        <w:t xml:space="preserve"> </w:t>
      </w:r>
      <w:r>
        <w:t xml:space="preserve">Co-design workshops with librarian unions and Ministry of Education representatives to validate findings and develop the competency framework.</w:t>
      </w:r>
    </w:p>
    <w:p>
      <w:pPr>
        <w:numPr>
          <w:ilvl w:val="0"/>
          <w:numId w:val="1002"/>
        </w:numPr>
        <w:pStyle w:val="Compact"/>
      </w:pPr>
      <w:r>
        <w:rPr>
          <w:bCs/>
          <w:b/>
        </w:rPr>
        <w:t xml:space="preserve">Data Analysis:</w:t>
      </w:r>
      <w:r>
        <w:t xml:space="preserve"> </w:t>
      </w:r>
      <w:r>
        <w:t xml:space="preserve">NVivo for qualitative coding, SPSS for statistical validation, with ethical approval secured from Beijing Normal University's IRB.</w:t>
      </w:r>
    </w:p>
    <w:bookmarkEnd w:id="24"/>
    <w:bookmarkStart w:id="25" w:name="expected-outcomes-and-significance"/>
    <w:p>
      <w:pPr>
        <w:pStyle w:val="Heading2"/>
      </w:pPr>
      <w:r>
        <w:t xml:space="preserve">Expected Outcomes and Significance</w:t>
      </w:r>
    </w:p>
    <w:p>
      <w:pPr>
        <w:pStyle w:val="FirstParagraph"/>
      </w:pPr>
      <w:r>
        <w:t xml:space="preserve">This research will deliver a groundbreaking competency model specifically calibrated for the China Beijing context. Expected outcomes include:</w:t>
      </w:r>
    </w:p>
    <w:p>
      <w:pPr>
        <w:numPr>
          <w:ilvl w:val="0"/>
          <w:numId w:val="1003"/>
        </w:numPr>
        <w:pStyle w:val="Compact"/>
      </w:pPr>
      <w:r>
        <w:t xml:space="preserve">A validated 7-component framework (e.g., Digital Navigation, Cultural Heritage Stewardship, Multilingual User Engagement) addressing Beijing's dual focus on global academic integration and Sinicized knowledge preservation.</w:t>
      </w:r>
    </w:p>
    <w:p>
      <w:pPr>
        <w:numPr>
          <w:ilvl w:val="0"/>
          <w:numId w:val="1003"/>
        </w:numPr>
        <w:pStyle w:val="Compact"/>
      </w:pPr>
      <w:r>
        <w:t xml:space="preserve">Policy briefs for Beijing Municipal Education Commission to reform librarian certification standards and integrate digital fluency into professional development curricula.</w:t>
      </w:r>
    </w:p>
    <w:p>
      <w:pPr>
        <w:numPr>
          <w:ilvl w:val="0"/>
          <w:numId w:val="1003"/>
        </w:numPr>
        <w:pStyle w:val="Compact"/>
      </w:pPr>
      <w:r>
        <w:t xml:space="preserve">A pilot training module tested across three university libraries in Beijing, targeting the 42% of librarians currently lacking AI literacy as per recent assessments.</w:t>
      </w:r>
    </w:p>
    <w:p>
      <w:pPr>
        <w:pStyle w:val="FirstParagraph"/>
      </w:pPr>
      <w:r>
        <w:t xml:space="preserve">The significance extends beyond academia: By positioning the librarian as a strategic asset rather than an operational cost, this thesis directly supports China's "Double First-Class" initiative to elevate global academic rankings. For Beijing specifically, it provides actionable intelligence for libraries like the National Library of China (Beijing) to enhance user experience in its 2025 smart library rollout. Critically, the proposal advances national discourse on human-centered digital transformation—where librarians become cultural translators between China's scholarly heritage and global knowledge networks.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IRB approval; Survey design</w:t>
            </w:r>
          </w:p>
        </w:tc>
      </w:tr>
      <w:tr>
        <w:tc>
          <w:tcPr/>
          <w:p>
            <w:pPr>
              <w:pStyle w:val="Compact"/>
              <w:jc w:val="left"/>
            </w:pPr>
            <w:r>
              <w:t xml:space="preserve">4-6</w:t>
            </w:r>
          </w:p>
        </w:tc>
        <w:tc>
          <w:tcPr/>
          <w:p>
            <w:pPr>
              <w:pStyle w:val="Compact"/>
              <w:jc w:val="left"/>
            </w:pPr>
            <w:r>
              <w:t xml:space="preserve">Survey administration across Beijing libraries</w:t>
            </w:r>
          </w:p>
        </w:tc>
      </w:tr>
      <w:tr>
        <w:tc>
          <w:tcPr/>
          <w:p>
            <w:pPr>
              <w:pStyle w:val="Compact"/>
              <w:jc w:val="left"/>
            </w:pPr>
            <w:r>
              <w:t xml:space="preserve">7-10</w:t>
            </w:r>
          </w:p>
        </w:tc>
        <w:tc>
          <w:tcPr/>
          <w:p>
            <w:pPr>
              <w:pStyle w:val="Compact"/>
              <w:jc w:val="left"/>
            </w:pPr>
            <w:r>
              <w:t xml:space="preserve">Interviews and data collection; Initial coding</w:t>
            </w:r>
          </w:p>
        </w:tc>
      </w:tr>
      <w:tr>
        <w:tc>
          <w:tcPr/>
          <w:p>
            <w:pPr>
              <w:pStyle w:val="Compact"/>
              <w:jc w:val="left"/>
            </w:pPr>
            <w:r>
              <w:t xml:space="preserve">11-14</w:t>
            </w:r>
          </w:p>
        </w:tc>
        <w:tc>
          <w:tcPr/>
          <w:p>
            <w:pPr>
              <w:pStyle w:val="Compact"/>
              <w:jc w:val="left"/>
            </w:pPr>
            <w:r>
              <w:t xml:space="preserve">Framework development; Workshop validation</w:t>
            </w:r>
          </w:p>
        </w:tc>
      </w:tr>
      <w:tr>
        <w:tc>
          <w:tcPr/>
          <w:p>
            <w:pPr>
              <w:pStyle w:val="Compact"/>
              <w:jc w:val="left"/>
            </w:pPr>
            <w:r>
              <w:t xml:space="preserve">15-18</w:t>
            </w:r>
          </w:p>
        </w:tc>
        <w:tc>
          <w:tcPr/>
          <w:p>
            <w:pPr>
              <w:pStyle w:val="Compact"/>
              <w:jc w:val="left"/>
            </w:pPr>
            <w:r>
              <w:t xml:space="preserve">Dissertation writing; Policy brief finalization</w:t>
            </w:r>
          </w:p>
        </w:tc>
      </w:tr>
    </w:tbl>
    <w:bookmarkEnd w:id="26"/>
    <w:bookmarkStart w:id="28" w:name="X6c48c7e66e7cb8e168c58d3988fc48e99ab8026"/>
    <w:p>
      <w:pPr>
        <w:pStyle w:val="Heading2"/>
      </w:pPr>
      <w:r>
        <w:t xml:space="preserve">Conclusion: The Librarian as Beijing's Knowledge Catalyst</w:t>
      </w:r>
    </w:p>
    <w:p>
      <w:pPr>
        <w:pStyle w:val="FirstParagraph"/>
      </w:pPr>
      <w:r>
        <w:t xml:space="preserve">In China Beijing, where libraries serve as critical nodes in the nation's intellectual infrastructure, this thesis positions the librarian not merely as a service provider but as an essential catalyst for cultural continuity and innovation. By grounding research in Beijing's specific academic ecosystem—where Confucian educational traditions meet cutting-edge digital initiatives—the study will generate replicable models for China's 300+ university libraries while contributing to global library science discourse. As Beijing accelerates toward its 2035 vision of becoming an "International Scientific and Technological Innovation Center," the professional evolution of librarians emerges as a decisive factor in realizing this ambition. This Thesis Proposal thus presents a timely, locally grounded intervention that honors China's academic heritage while actively shaping its digital future through the indispensable work of the librarian.</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Academic Libraries of China Beijing</dc:title>
  <dc:creator/>
  <dc:language>en</dc:language>
  <cp:keywords/>
  <dcterms:created xsi:type="dcterms:W3CDTF">2025-12-11T16:28:47Z</dcterms:created>
  <dcterms:modified xsi:type="dcterms:W3CDTF">2025-12-11T16:28:47Z</dcterms:modified>
</cp:coreProperties>
</file>

<file path=docProps/custom.xml><?xml version="1.0" encoding="utf-8"?>
<Properties xmlns="http://schemas.openxmlformats.org/officeDocument/2006/custom-properties" xmlns:vt="http://schemas.openxmlformats.org/officeDocument/2006/docPropsVTypes"/>
</file>