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Kazakhstan</w:t>
      </w:r>
      <w:r>
        <w:t xml:space="preserve"> </w:t>
      </w:r>
      <w:r>
        <w:t xml:space="preserve">Almaty</w:t>
      </w:r>
    </w:p>
    <w:bookmarkStart w:id="28" w:name="X255a511cbabcb5f7636d6bb3a682f0a1eabfe1f"/>
    <w:p>
      <w:pPr>
        <w:pStyle w:val="Heading1"/>
      </w:pPr>
      <w:r>
        <w:t xml:space="preserve">Thesis Proposal: The Evolving Role of the Librarian in Kazakhstan Almaty's Digital and Cultural Transformation</w:t>
      </w:r>
    </w:p>
    <w:bookmarkStart w:id="20" w:name="introduction-and-research-context"/>
    <w:p>
      <w:pPr>
        <w:pStyle w:val="Heading2"/>
      </w:pPr>
      <w:r>
        <w:t xml:space="preserve">Introduction and Research Context</w:t>
      </w:r>
    </w:p>
    <w:p>
      <w:pPr>
        <w:pStyle w:val="FirstParagraph"/>
      </w:pPr>
      <w:r>
        <w:t xml:space="preserve">This Thesis Proposal investigates the critical yet underexplored role of the modern Librarian within the unique socio-educational landscape of Kazakhstan Almaty. As Kazakhstan accelerates its national vision towards digital transformation, knowledge accessibility, and cultural preservation (aligned with initiatives like "Kazakhstan 2050"), the city of Almaty—historically the nation's intellectual and cultural capital—serves as an indispensable case study. The Librarian in Kazakhstan Almaty is no longer merely a custodian of physical collections; they are emerging as pivotal agents in community engagement, digital literacy bridging, and fostering national identity. This research addresses a significant gap: while Kazakhstan’s library sector has undergone legislative reforms (e.g., the 2017 Law on Libraries), empirical studies specifically examining the Librarian's evolving professional identity and operational challenges within Almaty remain scarce. Understanding this role is paramount for shaping future educational policy, resource allocation, and sustainable development in Kazakhstan Almaty.</w:t>
      </w:r>
    </w:p>
    <w:bookmarkEnd w:id="20"/>
    <w:bookmarkStart w:id="21" w:name="problem-statement"/>
    <w:p>
      <w:pPr>
        <w:pStyle w:val="Heading2"/>
      </w:pPr>
      <w:r>
        <w:t xml:space="preserve">Problem Statement</w:t>
      </w:r>
    </w:p>
    <w:p>
      <w:pPr>
        <w:pStyle w:val="FirstParagraph"/>
      </w:pPr>
      <w:r>
        <w:t xml:space="preserve">Kazakhstan Almaty faces a dual challenge: preserving its rich multicultural heritage while rapidly integrating into the global digital knowledge economy. Libraries across Almaty grapple with aging infrastructure inherited from the Soviet era, budget constraints limiting digital upgrades, and a growing demand for specialized services—from AI literacy workshops to multilingual resource access. Crucially, the professional capacity and perceived value of the Librarian are central to navigating this transition. Current research often treats Kazakhstani libraries as a monolithic entity, neglecting Almaty's distinct urban context: it hosts over 70 public and academic libraries, including flagship institutions like the Almaty Public Library and the National Library of Kazakhstan (located in Astana but with significant influence on Almaty’s ecosystem). This Thesis Proposal contends that the Librarian’s ability to adapt—through continuous professional development, innovative programming, and community partnership—is a decisive factor in whether Kazakhstan Almaty can fully leverage its libraries as engines of inclusive growth. Without understanding these dynamics, national digitalization goals risk failing at the local implementation level.</w:t>
      </w:r>
    </w:p>
    <w:bookmarkEnd w:id="21"/>
    <w:bookmarkStart w:id="22" w:name="literature-review-gaps-and-focus"/>
    <w:p>
      <w:pPr>
        <w:pStyle w:val="Heading2"/>
      </w:pPr>
      <w:r>
        <w:t xml:space="preserve">Literature Review: Gaps and Focus</w:t>
      </w:r>
    </w:p>
    <w:p>
      <w:pPr>
        <w:pStyle w:val="FirstParagraph"/>
      </w:pPr>
      <w:r>
        <w:t xml:space="preserve">Existing scholarship on library science in Central Asia is limited. Studies by scholars like K. Tleubergenova (2019) highlight systemic underfunding across Kazakhstan, while international frameworks (e.g., IFLA’s "Libraries for Sustainable Development") provide theoretical models but lack regional adaptation. Crucially, research on the Librarian as a *human actor* within Kazakhstan Almaty is virtually absent. Most studies focus on collection statistics or infrastructure, ignoring the professional agency of librarians navigating complex socio-political shifts. This proposal directly addresses this void by centering the Librarian’s lived experience in Almaty—a city where cultural diversity (Kazakh, Russian, Uyghur, and other communities), rapid urbanization, and government-driven e-governance initiatives converge uniquely. It builds upon nascent Kazakhstani studies but grounds them firmly in Almaty’s reality.</w:t>
      </w:r>
    </w:p>
    <w:bookmarkEnd w:id="22"/>
    <w:bookmarkStart w:id="23" w:name="research-objectives"/>
    <w:p>
      <w:pPr>
        <w:pStyle w:val="Heading2"/>
      </w:pPr>
      <w:r>
        <w:t xml:space="preserve">Research Objectives</w:t>
      </w:r>
    </w:p>
    <w:p>
      <w:pPr>
        <w:numPr>
          <w:ilvl w:val="0"/>
          <w:numId w:val="1001"/>
        </w:numPr>
        <w:pStyle w:val="Compact"/>
      </w:pPr>
      <w:r>
        <w:t xml:space="preserve">To analyze the current professional competencies, challenges, and aspirations of Librarians working in public and academic libraries across Kazakhstan Almaty.</w:t>
      </w:r>
    </w:p>
    <w:p>
      <w:pPr>
        <w:numPr>
          <w:ilvl w:val="0"/>
          <w:numId w:val="1001"/>
        </w:numPr>
        <w:pStyle w:val="Compact"/>
      </w:pPr>
      <w:r>
        <w:t xml:space="preserve">To assess how Librarians in Almaty are innovating to meet community needs (e.g., digital literacy programs for seniors, youth STEM initiatives, cultural heritage projects).</w:t>
      </w:r>
    </w:p>
    <w:p>
      <w:pPr>
        <w:numPr>
          <w:ilvl w:val="0"/>
          <w:numId w:val="1001"/>
        </w:numPr>
        <w:pStyle w:val="Compact"/>
      </w:pPr>
      <w:r>
        <w:t xml:space="preserve">To evaluate the alignment between Librarian-led services and national educational/digital policies (e.g., "Digital Kazakhstan," "Education Strategy 2030").</w:t>
      </w:r>
    </w:p>
    <w:p>
      <w:pPr>
        <w:numPr>
          <w:ilvl w:val="0"/>
          <w:numId w:val="1001"/>
        </w:numPr>
        <w:pStyle w:val="Compact"/>
      </w:pPr>
      <w:r>
        <w:t xml:space="preserve">To develop actionable recommendations for enhancing Librarian training, resources, and institutional support within the Almaty context.</w:t>
      </w:r>
    </w:p>
    <w:bookmarkEnd w:id="23"/>
    <w:bookmarkStart w:id="24" w:name="methodology"/>
    <w:p>
      <w:pPr>
        <w:pStyle w:val="Heading2"/>
      </w:pPr>
      <w:r>
        <w:t xml:space="preserve">Methodology</w:t>
      </w:r>
    </w:p>
    <w:p>
      <w:pPr>
        <w:pStyle w:val="FirstParagraph"/>
      </w:pPr>
      <w:r>
        <w:t xml:space="preserve">This mixed-methods study will employ a sequential design. Phase 1 involves a quantitative survey targeting 150+ Librarians across 30 public libraries in Kazakhstan Almaty, measuring competencies (digital, linguistic, community engagement), resource access challenges, and perceived institutional support. Phase 2 includes in-depth qualitative interviews with 25 Librarians and key stakeholders (library directors, Ministry of Education officials) to explore nuanced experiences and innovation case studies. Data collection will occur during Q3–Q4 2024 within Almaty city limits, ensuring geographic specificity. Thematic analysis will identify patterns linking Librarian practices to community impact and policy effectiveness. Rigor is ensured through triangulation (survey + interviews) and ethical approval from the Kazakh National University of Economics (KazNUE), reflecting local academic standards.</w:t>
      </w:r>
    </w:p>
    <w:bookmarkEnd w:id="24"/>
    <w:bookmarkStart w:id="25" w:name="expected-contributions"/>
    <w:p>
      <w:pPr>
        <w:pStyle w:val="Heading2"/>
      </w:pPr>
      <w:r>
        <w:t xml:space="preserve">Expected Contributions</w:t>
      </w:r>
    </w:p>
    <w:p>
      <w:pPr>
        <w:pStyle w:val="FirstParagraph"/>
      </w:pPr>
      <w:r>
        <w:t xml:space="preserve">This Thesis Proposal offers significant theoretical, practical, and policy-oriented contributions. Theoretically, it advances library science by introducing a culturally situated "Librarian as Community Catalyst" model relevant to post-Soviet contexts. Practically, findings will provide Almaty’s libraries with a roadmap for staff development and service innovation—directly addressing the operational gaps observed in the city’s current landscape. Most importantly, the research aligns with Kazakhstan’s national priorities: strengthening human capital through knowledge access (a core goal of "Kazakhstan 2050") and ensuring libraries become inclusive hubs for all Almaty residents, regardless of language or socioeconomic background. By centering the Librarian's voice, this work empowers a profession often overlooked in national development dialogues.</w:t>
      </w:r>
    </w:p>
    <w:bookmarkEnd w:id="25"/>
    <w:bookmarkStart w:id="26" w:name="significance-for-kazakhstan-almaty"/>
    <w:p>
      <w:pPr>
        <w:pStyle w:val="Heading2"/>
      </w:pPr>
      <w:r>
        <w:t xml:space="preserve">Significance for Kazakhstan Almaty</w:t>
      </w:r>
    </w:p>
    <w:p>
      <w:pPr>
        <w:pStyle w:val="FirstParagraph"/>
      </w:pPr>
      <w:r>
        <w:t xml:space="preserve">The implications extend beyond academia. As Kazakhstan Almaty strives to be a "smart city" and cultural hub of Central Asia, its libraries are frontline institutions. The Librarian’s role is fundamental to achieving this vision: they bridge the digital divide for vulnerable groups (e.g., elderly citizens), preserve Kazakh oral history through digitization projects, and foster intercultural dialogue in a diverse metropolis. This Thesis Proposal positions the Librarian not as a passive service provider but as an essential civic partner. For Kazakhstan Almaty specifically, evidence-based support for librarians can catalyze broader social cohesion—directly supporting initiatives like the "Almaty 2030" urban development strategy which emphasizes inclusive community spaces. Failure to invest in this profession risks leaving Almaty’s knowledge infrastructure fragmented, hindering its potential as a leader in Central Asia’s information society.</w:t>
      </w:r>
    </w:p>
    <w:bookmarkEnd w:id="26"/>
    <w:bookmarkStart w:id="27" w:name="conclusion"/>
    <w:p>
      <w:pPr>
        <w:pStyle w:val="Heading2"/>
      </w:pPr>
      <w:r>
        <w:t xml:space="preserve">Conclusion</w:t>
      </w:r>
    </w:p>
    <w:p>
      <w:pPr>
        <w:pStyle w:val="FirstParagraph"/>
      </w:pPr>
      <w:r>
        <w:t xml:space="preserve">This Thesis Proposal underscores that the Librarian in Kazakhstan Almaty is at a pivotal moment. They are transforming from traditional catalogers into dynamic community leaders navigating digital disruption and cultural renewal. By conducting this rigorous research focused explicitly on Almaty’s libraries, this study will generate vital insights to inform policy, training, and investment—ensuring that Kazakhstan Almaty’s librarians are equipped to fulfill their promise as catalysts for knowledge equity and national progress. The findings will resonate far beyond the academic sphere, contributing directly to the sustainable development of one of Central Asia’s most vibrant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Kazakhstan Almaty</dc:title>
  <dc:creator/>
  <dc:language>en</dc:language>
  <cp:keywords/>
  <dcterms:created xsi:type="dcterms:W3CDTF">2026-07-22T09:42:35Z</dcterms:created>
  <dcterms:modified xsi:type="dcterms:W3CDTF">2026-07-22T09:42:35Z</dcterms:modified>
</cp:coreProperties>
</file>

<file path=docProps/custom.xml><?xml version="1.0" encoding="utf-8"?>
<Properties xmlns="http://schemas.openxmlformats.org/officeDocument/2006/custom-properties" xmlns:vt="http://schemas.openxmlformats.org/officeDocument/2006/docPropsVTypes"/>
</file>