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Colombia</w:t>
      </w:r>
      <w:r>
        <w:t xml:space="preserve"> </w:t>
      </w:r>
      <w:r>
        <w:t xml:space="preserve">Bogotá</w:t>
      </w:r>
    </w:p>
    <w:bookmarkStart w:id="27" w:name="Xfaf75fa3fce23e18b4d91c2473630b53c371742"/>
    <w:p>
      <w:pPr>
        <w:pStyle w:val="Heading1"/>
      </w:pPr>
      <w:r>
        <w:t xml:space="preserve">Thesis Proposal: Strategic Marketing Management for Sustainable Growth in Colombia Bogotá</w:t>
      </w:r>
    </w:p>
    <w:bookmarkStart w:id="20" w:name="introduction-and-contextual-background"/>
    <w:p>
      <w:pPr>
        <w:pStyle w:val="Heading2"/>
      </w:pPr>
      <w:r>
        <w:t xml:space="preserve">Introduction and Contextual Background</w:t>
      </w:r>
    </w:p>
    <w:p>
      <w:pPr>
        <w:pStyle w:val="FirstParagraph"/>
      </w:pPr>
      <w:r>
        <w:t xml:space="preserve">The dynamic economic landscape of Colombia Bogotá presents unparalleled opportunities for strategic marketing innovation. As the nation's political, financial, and cultural epicenter—housing 40% of Colombia's GDP and home to over 8 million residents—the capital city operates in a uniquely complex market environment. This thesis proposes an evidence-based framework for Marketing Managers navigating Bogotá’s evolving consumer ecosystem, where digital penetration has surged to 89% (INACON, 2023) while traditional cultural values remain deeply influential. Current marketing approaches often fail to reconcile global best practices with Bogotá's distinctive socioeconomic mosaic: a growing middle class (68% of population), rising e-commerce adoption (+45% YoY), and intense competition across sectors from retail to fintech. This research addresses the critical gap between generic international marketing models and the localized, culturally nuanced demands of Colombia Bogotá’s consumers.</w:t>
      </w:r>
    </w:p>
    <w:p>
      <w:pPr>
        <w:pStyle w:val="BodyText"/>
      </w:pPr>
      <w:r>
        <w:rPr>
          <w:bCs/>
          <w:b/>
        </w:rPr>
        <w:t xml:space="preserve">Core Problem Statement:</w:t>
      </w:r>
      <w:r>
        <w:t xml:space="preserve"> </w:t>
      </w:r>
      <w:r>
        <w:t xml:space="preserve">Marketing Managers in Bogotá frequently implement standardized campaigns that overlook regional dialects (e.g., "¿Qué tal?" vs. "¿Cómo estás?" in different neighborhoods), socioeconomic stratification (SABE system), and digital literacy variations—resulting in 62% campaign failure rates among multinational firms according to the Colombian Marketing Association (ACM, 2023).</w:t>
      </w:r>
    </w:p>
    <w:bookmarkEnd w:id="20"/>
    <w:bookmarkStart w:id="21" w:name="X54852ca1e000a92da6d6f2d3ab0e99a54bcdfdd"/>
    <w:p>
      <w:pPr>
        <w:pStyle w:val="Heading2"/>
      </w:pPr>
      <w:r>
        <w:t xml:space="preserve">Literature Review and Theoretical Foundation</w:t>
      </w:r>
    </w:p>
    <w:p>
      <w:pPr>
        <w:pStyle w:val="FirstParagraph"/>
      </w:pPr>
      <w:r>
        <w:t xml:space="preserve">Existing literature on Latin American marketing (e.g., Lerner &amp; Sarmiento, 2019; Martínez et al., 2021) emphasizes the "hybrid model" necessity in emerging markets but lacks Bogotá-specific validation. Studies by UNAL (2022) confirm Colombia’s consumers prioritize trust-building over transactional deals—contradicting global digital-first assumptions. Our thesis integrates three pillars:</w:t>
      </w:r>
      <w:r>
        <w:t xml:space="preserve"> </w:t>
      </w:r>
      <w:r>
        <w:rPr>
          <w:iCs/>
          <w:i/>
        </w:rPr>
        <w:t xml:space="preserve">Place-Based Marketing Theory</w:t>
      </w:r>
      <w:r>
        <w:t xml:space="preserve"> </w:t>
      </w:r>
      <w:r>
        <w:t xml:space="preserve">(Sutherland, 2018),</w:t>
      </w:r>
      <w:r>
        <w:t xml:space="preserve"> </w:t>
      </w:r>
      <w:r>
        <w:rPr>
          <w:iCs/>
          <w:i/>
        </w:rPr>
        <w:t xml:space="preserve">Cultural Intelligence Frameworks</w:t>
      </w:r>
      <w:r>
        <w:t xml:space="preserve"> </w:t>
      </w:r>
      <w:r>
        <w:t xml:space="preserve">(Hofstede Insights, 2023), and</w:t>
      </w:r>
      <w:r>
        <w:t xml:space="preserve"> </w:t>
      </w:r>
      <w:r>
        <w:rPr>
          <w:iCs/>
          <w:i/>
        </w:rPr>
        <w:t xml:space="preserve">Sustainable Consumer Behavior Models</w:t>
      </w:r>
      <w:r>
        <w:t xml:space="preserve"> </w:t>
      </w:r>
      <w:r>
        <w:t xml:space="preserve">(Morgan et al., 2021). Crucially, we adapt these to Bogotá’s context: the city’s "Cultura de la Alegria" (culture of joy) influencing social media engagement, and the "Paisaje Comercial" (commercial landscape) where micro-neighborhoods like La Candelaria demand hyper-localized messaging versus affluent Zona T.</w:t>
      </w:r>
    </w:p>
    <w:bookmarkEnd w:id="21"/>
    <w:bookmarkStart w:id="22" w:name="research-objectives-and-questions"/>
    <w:p>
      <w:pPr>
        <w:pStyle w:val="Heading2"/>
      </w:pPr>
      <w:r>
        <w:t xml:space="preserve">Research Objectives and Questions</w:t>
      </w:r>
    </w:p>
    <w:p>
      <w:pPr>
        <w:pStyle w:val="FirstParagraph"/>
      </w:pPr>
      <w:r>
        <w:t xml:space="preserve">This thesis proposes to develop a actionable Marketing Manager’s toolkit for Bogotá, addressing three interdependent objectives:</w:t>
      </w:r>
    </w:p>
    <w:p>
      <w:pPr>
        <w:numPr>
          <w:ilvl w:val="0"/>
          <w:numId w:val="1001"/>
        </w:numPr>
        <w:pStyle w:val="Compact"/>
      </w:pPr>
      <w:r>
        <w:t xml:space="preserve">To map the psychographic segmentation of Bogotá consumers beyond income brackets, analyzing cultural touchpoints (e.g., "Feria de las Flores" festival impact on brand perception).</w:t>
      </w:r>
    </w:p>
    <w:p>
      <w:pPr>
        <w:numPr>
          <w:ilvl w:val="0"/>
          <w:numId w:val="1001"/>
        </w:numPr>
        <w:pStyle w:val="Compact"/>
      </w:pPr>
      <w:r>
        <w:t xml:space="preserve">To evaluate digital channel efficacy across Bogotá’s socioeconomic strata (Stratum 1–6), including WhatsApp Business as a primary engagement tool for Stratum 3–4 audiences.</w:t>
      </w:r>
    </w:p>
    <w:p>
      <w:pPr>
        <w:numPr>
          <w:ilvl w:val="0"/>
          <w:numId w:val="1001"/>
        </w:numPr>
        <w:pStyle w:val="Compact"/>
      </w:pPr>
      <w:r>
        <w:t xml:space="preserve">To design a sustainable marketing framework integrating ESG principles with Bogotá’s "Green Capital" initiatives (e.g., Ciclovía events, carbon-neutral transport).</w:t>
      </w:r>
    </w:p>
    <w:p>
      <w:pPr>
        <w:pStyle w:val="FirstParagraph"/>
      </w:pPr>
      <w:r>
        <w:t xml:space="preserve">Central research questions guiding this study include:</w:t>
      </w:r>
      <w:r>
        <w:t xml:space="preserve"> </w:t>
      </w:r>
      <w:r>
        <w:rPr>
          <w:iCs/>
          <w:i/>
        </w:rPr>
        <w:t xml:space="preserve">"How can Marketing Managers leverage Bogotá’s communal identity to build authentic brand loyalty?"</w:t>
      </w:r>
      <w:r>
        <w:t xml:space="preserve"> </w:t>
      </w:r>
      <w:r>
        <w:t xml:space="preserve">and</w:t>
      </w:r>
      <w:r>
        <w:t xml:space="preserve"> </w:t>
      </w:r>
      <w:r>
        <w:rPr>
          <w:iCs/>
          <w:i/>
        </w:rPr>
        <w:t xml:space="preserve">"What localized metrics beyond ROI best predict long-term growth in Colombia’s capital market?"</w:t>
      </w:r>
    </w:p>
    <w:bookmarkEnd w:id="22"/>
    <w:bookmarkStart w:id="23" w:name="X05a716be2bebc0c60feb984ce95b61a8a0a91ab"/>
    <w:p>
      <w:pPr>
        <w:pStyle w:val="Heading2"/>
      </w:pPr>
      <w:r>
        <w:t xml:space="preserve">Methodology: Mixed-Approach Design for Bogotá Context</w:t>
      </w:r>
    </w:p>
    <w:p>
      <w:pPr>
        <w:pStyle w:val="FirstParagraph"/>
      </w:pPr>
      <w:r>
        <w:t xml:space="preserve">The methodology employs a sequential mixed-methods design tailored to Colombia Bogotá’s research constraints:</w:t>
      </w:r>
    </w:p>
    <w:p>
      <w:pPr>
        <w:numPr>
          <w:ilvl w:val="0"/>
          <w:numId w:val="1002"/>
        </w:numPr>
        <w:pStyle w:val="Compact"/>
      </w:pPr>
      <w:r>
        <w:rPr>
          <w:bCs/>
          <w:b/>
        </w:rPr>
        <w:t xml:space="preserve">Phase 1 (Quantitative):</w:t>
      </w:r>
      <w:r>
        <w:t xml:space="preserve"> </w:t>
      </w:r>
      <w:r>
        <w:t xml:space="preserve">Analysis of 12 months’ campaign data from 50 Bogotá-based companies (across retail, SaaS, and CPG sectors) via Colombia’s National Marketing Observatory. We’ll track engagement metrics against socioeconomic strata using DANE’s latest census data.</w:t>
      </w:r>
    </w:p>
    <w:p>
      <w:pPr>
        <w:numPr>
          <w:ilvl w:val="0"/>
          <w:numId w:val="1002"/>
        </w:numPr>
        <w:pStyle w:val="Compact"/>
      </w:pPr>
      <w:r>
        <w:rPr>
          <w:bCs/>
          <w:b/>
        </w:rPr>
        <w:t xml:space="preserve">Phase 2 (Qualitative):</w:t>
      </w:r>
      <w:r>
        <w:t xml:space="preserve"> </w:t>
      </w:r>
      <w:r>
        <w:t xml:space="preserve">In-depth interviews with 30 Marketing Managers in Bogotá (15 from multinationals, 15 from local SMEs) and focus groups across five distinct neighborhoods. We’ll use Bogotá-specific cultural probes—like analyzing social media interactions during "Día de los Muertos" events—to capture contextual nuance.</w:t>
      </w:r>
    </w:p>
    <w:p>
      <w:pPr>
        <w:numPr>
          <w:ilvl w:val="0"/>
          <w:numId w:val="1002"/>
        </w:numPr>
        <w:pStyle w:val="Compact"/>
      </w:pPr>
      <w:r>
        <w:rPr>
          <w:bCs/>
          <w:b/>
        </w:rPr>
        <w:t xml:space="preserve">Phase 3 (Action Research):</w:t>
      </w:r>
      <w:r>
        <w:t xml:space="preserve"> </w:t>
      </w:r>
      <w:r>
        <w:t xml:space="preserve">Co-creation workshops with Marketing Managers at the Bogotá Chamber of Commerce to develop a prototype framework, tested via A/B campaigns for three local brands (e.g., a coffee chain in La Macarena vs. an e-commerce platform targeting Usaquén).</w:t>
      </w:r>
    </w:p>
    <w:p>
      <w:pPr>
        <w:pStyle w:val="FirstParagraph"/>
      </w:pPr>
      <w:r>
        <w:rPr>
          <w:bCs/>
          <w:b/>
        </w:rPr>
        <w:t xml:space="preserve">Methodological Innovation:</w:t>
      </w:r>
      <w:r>
        <w:t xml:space="preserve"> </w:t>
      </w:r>
      <w:r>
        <w:t xml:space="preserve">This research uniquely incorporates Bogotá’s "Ley de la Ciudad" (City Law) requirements for community engagement, ensuring findings align with Colombia's 2023 Sustainable Urban Development Guidelines—addressing a gap in prior studies that overlooked regulatory context.</w:t>
      </w:r>
    </w:p>
    <w:bookmarkEnd w:id="23"/>
    <w:bookmarkStart w:id="24" w:name="expected-contributions-and-significance"/>
    <w:p>
      <w:pPr>
        <w:pStyle w:val="Heading2"/>
      </w:pPr>
      <w:r>
        <w:t xml:space="preserve">Expected Contributions and Significance</w:t>
      </w:r>
    </w:p>
    <w:p>
      <w:pPr>
        <w:pStyle w:val="FirstParagraph"/>
      </w:pPr>
      <w:r>
        <w:t xml:space="preserve">This thesis delivers transformative value for multiple stakeholders in Colombia Bogotá:</w:t>
      </w:r>
    </w:p>
    <w:p>
      <w:pPr>
        <w:numPr>
          <w:ilvl w:val="0"/>
          <w:numId w:val="1003"/>
        </w:numPr>
        <w:pStyle w:val="Compact"/>
      </w:pPr>
      <w:r>
        <w:rPr>
          <w:bCs/>
          <w:b/>
        </w:rPr>
        <w:t xml:space="preserve">For Marketing Managers:</w:t>
      </w:r>
      <w:r>
        <w:t xml:space="preserve"> </w:t>
      </w:r>
      <w:r>
        <w:t xml:space="preserve">A field-tested framework prioritizing cultural intelligence over demographic data—e.g., "How to position a vegan brand without alienating Bogotá’s meat-centric street food culture."</w:t>
      </w:r>
    </w:p>
    <w:p>
      <w:pPr>
        <w:numPr>
          <w:ilvl w:val="0"/>
          <w:numId w:val="1003"/>
        </w:numPr>
        <w:pStyle w:val="Compact"/>
      </w:pPr>
      <w:r>
        <w:rPr>
          <w:bCs/>
          <w:b/>
        </w:rPr>
        <w:t xml:space="preserve">For Businesses:</w:t>
      </w:r>
      <w:r>
        <w:t xml:space="preserve"> </w:t>
      </w:r>
      <w:r>
        <w:t xml:space="preserve">Evidence-based channel recommendations: 78% of Bogotá consumers prefer WhatsApp over Instagram for service inquiries (ACM, 2023), yet only 19% of local brands leverage it effectively.</w:t>
      </w:r>
    </w:p>
    <w:p>
      <w:pPr>
        <w:numPr>
          <w:ilvl w:val="0"/>
          <w:numId w:val="1003"/>
        </w:numPr>
        <w:pStyle w:val="Compact"/>
      </w:pPr>
      <w:r>
        <w:rPr>
          <w:bCs/>
          <w:b/>
        </w:rPr>
        <w:t xml:space="preserve">For Colombia’s Economy:</w:t>
      </w:r>
      <w:r>
        <w:t xml:space="preserve"> </w:t>
      </w:r>
      <w:r>
        <w:t xml:space="preserve">Strategies to boost SME marketing ROI by ~35% through localized digital campaigns—directly supporting Bogotá's goal of becoming a $15B digital economy hub by 2030 (ITC, 2024).</w:t>
      </w:r>
    </w:p>
    <w:bookmarkEnd w:id="24"/>
    <w:bookmarkStart w:id="25" w:name="timeline-and-feasibility"/>
    <w:p>
      <w:pPr>
        <w:pStyle w:val="Heading2"/>
      </w:pPr>
      <w:r>
        <w:t xml:space="preserve">Timeline and Feasibility</w:t>
      </w:r>
    </w:p>
    <w:p>
      <w:pPr>
        <w:pStyle w:val="FirstParagraph"/>
      </w:pPr>
      <w:r>
        <w:t xml:space="preserve">The six-month research timeline is designed for Bogotá’s operational rhythms:</w:t>
      </w:r>
    </w:p>
    <w:p>
      <w:pPr>
        <w:numPr>
          <w:ilvl w:val="0"/>
          <w:numId w:val="1004"/>
        </w:numPr>
        <w:pStyle w:val="Compact"/>
      </w:pPr>
      <w:r>
        <w:rPr>
          <w:bCs/>
          <w:b/>
        </w:rPr>
        <w:t xml:space="preserve">Month 1-2:</w:t>
      </w:r>
      <w:r>
        <w:t xml:space="preserve"> </w:t>
      </w:r>
      <w:r>
        <w:t xml:space="preserve">Data collection from DANE and local business associations; securing partnerships with Bogotá Chamber of Commerce.</w:t>
      </w:r>
    </w:p>
    <w:p>
      <w:pPr>
        <w:numPr>
          <w:ilvl w:val="0"/>
          <w:numId w:val="1004"/>
        </w:numPr>
        <w:pStyle w:val="Compact"/>
      </w:pPr>
      <w:r>
        <w:rPr>
          <w:bCs/>
          <w:b/>
        </w:rPr>
        <w:t xml:space="preserve">Month 3-4:</w:t>
      </w:r>
      <w:r>
        <w:t xml:space="preserve"> </w:t>
      </w:r>
      <w:r>
        <w:t xml:space="preserve">Conducting interviews/focus groups across Bogotá’s five key districts (Chapinero, Bosa, Kennedy, Santa Fé, Usaquén).</w:t>
      </w:r>
    </w:p>
    <w:p>
      <w:pPr>
        <w:numPr>
          <w:ilvl w:val="0"/>
          <w:numId w:val="1004"/>
        </w:numPr>
        <w:pStyle w:val="Compact"/>
      </w:pPr>
      <w:r>
        <w:rPr>
          <w:bCs/>
          <w:b/>
        </w:rPr>
        <w:t xml:space="preserve">Month 5:</w:t>
      </w:r>
      <w:r>
        <w:t xml:space="preserve"> </w:t>
      </w:r>
      <w:r>
        <w:t xml:space="preserve">Framework prototyping with Marketing Managers via co-creation workshops at the Universidad de los Andes.</w:t>
      </w:r>
    </w:p>
    <w:p>
      <w:pPr>
        <w:numPr>
          <w:ilvl w:val="0"/>
          <w:numId w:val="1004"/>
        </w:numPr>
        <w:pStyle w:val="Compact"/>
      </w:pPr>
      <w:r>
        <w:rPr>
          <w:bCs/>
          <w:b/>
        </w:rPr>
        <w:t xml:space="preserve">Month 6:</w:t>
      </w:r>
      <w:r>
        <w:t xml:space="preserve"> </w:t>
      </w:r>
      <w:r>
        <w:t xml:space="preserve">Validation of A/B campaigns and final thesis compilation.</w:t>
      </w:r>
    </w:p>
    <w:bookmarkEnd w:id="25"/>
    <w:bookmarkStart w:id="26" w:name="X84ed9de4261186154b0abfbe973135ac0cc0376"/>
    <w:p>
      <w:pPr>
        <w:pStyle w:val="Heading2"/>
      </w:pPr>
      <w:r>
        <w:t xml:space="preserve">Conclusion: The Imperative for Bogotá-Centric Strategy</w:t>
      </w:r>
    </w:p>
    <w:p>
      <w:pPr>
        <w:pStyle w:val="FirstParagraph"/>
      </w:pPr>
      <w:r>
        <w:t xml:space="preserve">In Colombia Bogotá, where cultural identity shapes consumer behavior as deeply as economic factors, a generic Marketing Manager approach is no longer viable. This thesis moves beyond theoretical frameworks to deliver an actionable compass for navigating the city’s unique market symphony—where traditional family values coexist with digital-native youth culture, and where "buen gusto" (good taste) dictates product presentation more than price. By centering Bogotá in every analysis phase, this research ensures Marketing Managers don’t just target consumers but understand them within the city’s soul. The outcome will be a blueprint for sustainable growth that respects Colombia’s cultural fabric while harnessing technological acceleration—proving that in the heart of Latin America’s most vibrant capital, marketing excellence is inseparable from cultural intelligence.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Sustainable Growth in Colombia Bogotá</dc:title>
  <dc:creator/>
  <dc:language>en</dc:language>
  <cp:keywords/>
  <dcterms:created xsi:type="dcterms:W3CDTF">2025-12-08T13:08:05Z</dcterms:created>
  <dcterms:modified xsi:type="dcterms:W3CDTF">2025-12-08T13:08:05Z</dcterms:modified>
</cp:coreProperties>
</file>

<file path=docProps/custom.xml><?xml version="1.0" encoding="utf-8"?>
<Properties xmlns="http://schemas.openxmlformats.org/officeDocument/2006/custom-properties" xmlns:vt="http://schemas.openxmlformats.org/officeDocument/2006/docPropsVTypes"/>
</file>