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9" w:name="Xd49898df0a3cc205620815b2f23f6e4eee33a0e"/>
    <w:p>
      <w:pPr>
        <w:pStyle w:val="Heading1"/>
      </w:pPr>
      <w:r>
        <w:t xml:space="preserve">Thesis Proposal: The Evolving Role of the Marketing Manager in Digital Transformation within Germany Frankfurt's Competitive Business Ecosystem</w:t>
      </w:r>
    </w:p>
    <w:bookmarkStart w:id="20" w:name="introduction-and-background"/>
    <w:p>
      <w:pPr>
        <w:pStyle w:val="Heading2"/>
      </w:pPr>
      <w:r>
        <w:t xml:space="preserve">1. Introduction and Background</w:t>
      </w:r>
    </w:p>
    <w:p>
      <w:pPr>
        <w:pStyle w:val="FirstParagraph"/>
      </w:pPr>
      <w:r>
        <w:t xml:space="preserve">The strategic positioning of global brands in Germany Frankfurt demands a sophisticated marketing approach that navigates the city's unique economic ecosystem. As Europe's leading financial hub and the headquarters location for 50% of DAX-listed companies, Frankfurt presents an unparalleled environment for marketing innovation. This thesis proposal examines the critical evolution of the</w:t>
      </w:r>
      <w:r>
        <w:t xml:space="preserve"> </w:t>
      </w:r>
      <w:r>
        <w:rPr>
          <w:bCs/>
          <w:b/>
        </w:rPr>
        <w:t xml:space="preserve">Marketing Manager</w:t>
      </w:r>
      <w:r>
        <w:t xml:space="preserve"> </w:t>
      </w:r>
      <w:r>
        <w:t xml:space="preserve">role within this context, addressing how digital disruption, multicultural consumer landscapes, and Frankfurt-specific market dynamics reshape strategic execution. With Germany's marketing sector valued at €73 billion (Statista 2023) and Frankfurt representing 15% of its national revenue, understanding the specialized competencies required for the</w:t>
      </w:r>
      <w:r>
        <w:t xml:space="preserve"> </w:t>
      </w:r>
      <w:r>
        <w:rPr>
          <w:iCs/>
          <w:i/>
        </w:rPr>
        <w:t xml:space="preserve">Marketing Manager</w:t>
      </w:r>
      <w:r>
        <w:t xml:space="preserve"> </w:t>
      </w:r>
      <w:r>
        <w:t xml:space="preserve">is no longer optional—it is imperative for organizational success.</w:t>
      </w:r>
    </w:p>
    <w:bookmarkEnd w:id="20"/>
    <w:bookmarkStart w:id="21" w:name="problem-statement"/>
    <w:p>
      <w:pPr>
        <w:pStyle w:val="Heading2"/>
      </w:pPr>
      <w:r>
        <w:t xml:space="preserve">2. Problem Statement</w:t>
      </w:r>
    </w:p>
    <w:p>
      <w:pPr>
        <w:pStyle w:val="FirstParagraph"/>
      </w:pPr>
      <w:r>
        <w:t xml:space="preserve">Current industry frameworks fail to capture the nuanced demands placed on Marketing Managers operating in Germany Frankfurt. While generic marketing models dominate academic literature, they overlook Frankfurt's distinct characteristics: its status as a cross-border business gateway (handling 60% of EU financial transactions), highly specialized B2B market focus, and stringent German data privacy regulations (GDPR). A recent EY survey revealed 73% of Frankfurt-based marketing teams struggle with aligning global strategies with local execution. This gap creates critical operational inefficiencies—particularly in market entry, customer segmentation, and digital ROI measurement—that this thesis will systematically address through a Frankfurt-specific lens.</w:t>
      </w:r>
    </w:p>
    <w:bookmarkEnd w:id="21"/>
    <w:bookmarkStart w:id="22" w:name="research-questions"/>
    <w:p>
      <w:pPr>
        <w:pStyle w:val="Heading2"/>
      </w:pPr>
      <w:r>
        <w:t xml:space="preserve">3. Research Questions</w:t>
      </w:r>
    </w:p>
    <w:p>
      <w:pPr>
        <w:pStyle w:val="FirstParagraph"/>
      </w:pPr>
      <w:r>
        <w:t xml:space="preserve">This research will investigate three interrelated questions central to the</w:t>
      </w:r>
      <w:r>
        <w:t xml:space="preserve"> </w:t>
      </w:r>
      <w:r>
        <w:rPr>
          <w:bCs/>
          <w:b/>
        </w:rPr>
        <w:t xml:space="preserve">Marketing Manager</w:t>
      </w:r>
      <w:r>
        <w:t xml:space="preserve">'s role in Germany Frankfurt:</w:t>
      </w:r>
    </w:p>
    <w:p>
      <w:pPr>
        <w:numPr>
          <w:ilvl w:val="0"/>
          <w:numId w:val="1001"/>
        </w:numPr>
        <w:pStyle w:val="Compact"/>
      </w:pPr>
      <w:r>
        <w:t xml:space="preserve">How do GDPR compliance requirements and German consumer privacy expectations fundamentally alter digital marketing strategies for a Marketing Manager in Frankfurt compared to other European markets?</w:t>
      </w:r>
    </w:p>
    <w:p>
      <w:pPr>
        <w:numPr>
          <w:ilvl w:val="0"/>
          <w:numId w:val="1001"/>
        </w:numPr>
        <w:pStyle w:val="Compact"/>
      </w:pPr>
      <w:r>
        <w:t xml:space="preserve">In what ways does Frankfurt's position as Europe's financial capital necessitate specialized B2B marketing competencies beyond standard industry frameworks?</w:t>
      </w:r>
    </w:p>
    <w:p>
      <w:pPr>
        <w:numPr>
          <w:ilvl w:val="0"/>
          <w:numId w:val="1001"/>
        </w:numPr>
        <w:pStyle w:val="Compact"/>
      </w:pPr>
      <w:r>
        <w:t xml:space="preserve">What emerging skill sets (e.g., cross-border data analytics, multicultural team leadership) have become essential for the modern Marketing Manager to drive market share growth in Germany Frankfurt?</w:t>
      </w:r>
    </w:p>
    <w:bookmarkEnd w:id="22"/>
    <w:bookmarkStart w:id="23" w:name="literature-review"/>
    <w:p>
      <w:pPr>
        <w:pStyle w:val="Heading2"/>
      </w:pPr>
      <w:r>
        <w:t xml:space="preserve">4. Literature Review</w:t>
      </w:r>
    </w:p>
    <w:p>
      <w:pPr>
        <w:pStyle w:val="FirstParagraph"/>
      </w:pPr>
      <w:r>
        <w:t xml:space="preserve">Existing scholarship on marketing management (Kotler, 2023; Keller, 2019) emphasizes global frameworks but neglects Frankfurt's unique context. While studies on German marketing (Büttner &amp; Glaeser, 2021) discuss cultural nuances like *Hochkultur* (high culture) consumer expectations, they omit the city's financial infrastructure as a strategic variable. Similarly, digital transformation research (Chaffey &amp; Ellis-Chadwick, 2023) fails to address how Frankfurt's status as the EU's primary trading node affects real-time market response capabilities. This thesis bridges these gaps by positioning Germany Frankfurt not merely as a location but as an active market-shaping ecosystem where the</w:t>
      </w:r>
      <w:r>
        <w:t xml:space="preserve"> </w:t>
      </w:r>
      <w:r>
        <w:rPr>
          <w:iCs/>
          <w:i/>
        </w:rPr>
        <w:t xml:space="preserve">Marketing Manager</w:t>
      </w:r>
      <w:r>
        <w:t xml:space="preserve"> </w:t>
      </w:r>
      <w:r>
        <w:t xml:space="preserve">must operate with dual expertise in financial sector dynamics and consumer psychology.</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validation:</w:t>
      </w:r>
    </w:p>
    <w:p>
      <w:pPr>
        <w:numPr>
          <w:ilvl w:val="0"/>
          <w:numId w:val="1002"/>
        </w:numPr>
        <w:pStyle w:val="Compact"/>
      </w:pPr>
      <w:r>
        <w:rPr>
          <w:bCs/>
          <w:b/>
        </w:rPr>
        <w:t xml:space="preserve">Qualitative Phase (Months 1-4):</w:t>
      </w:r>
      <w:r>
        <w:t xml:space="preserve"> </w:t>
      </w:r>
      <w:r>
        <w:t xml:space="preserve">In-depth interviews with 30+ Marketing Managers across Frankfurt-based organizations (including DAX companies, fintech startups, and multinational HQs). Sampling will prioritize roles managing €5M+ budgets to ensure strategic relevance.</w:t>
      </w:r>
    </w:p>
    <w:p>
      <w:pPr>
        <w:numPr>
          <w:ilvl w:val="0"/>
          <w:numId w:val="1002"/>
        </w:numPr>
        <w:pStyle w:val="Compact"/>
      </w:pPr>
      <w:r>
        <w:rPr>
          <w:bCs/>
          <w:b/>
        </w:rPr>
        <w:t xml:space="preserve">Quantitative Phase (Months 5-7):</w:t>
      </w:r>
      <w:r>
        <w:t xml:space="preserve"> </w:t>
      </w:r>
      <w:r>
        <w:t xml:space="preserve">Survey of 200 German marketing professionals using validated scales measuring competency gaps in GDPR-driven campaigns, B2B channel management, and cross-cultural team leadership.</w:t>
      </w:r>
    </w:p>
    <w:p>
      <w:pPr>
        <w:numPr>
          <w:ilvl w:val="0"/>
          <w:numId w:val="1002"/>
        </w:numPr>
        <w:pStyle w:val="Compact"/>
      </w:pPr>
      <w:r>
        <w:rPr>
          <w:bCs/>
          <w:b/>
        </w:rPr>
        <w:t xml:space="preserve">Data Integration:</w:t>
      </w:r>
      <w:r>
        <w:t xml:space="preserve"> </w:t>
      </w:r>
      <w:r>
        <w:t xml:space="preserve">Thematic analysis of interview transcripts combined with regression modeling to correlate specific Marketing Manager competencies with campaign performance metrics (e.g., customer acquisition cost reduction, lead-to-revenue conversion rates).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3"/>
        </w:numPr>
        <w:pStyle w:val="Compact"/>
      </w:pPr>
      <w:r>
        <w:rPr>
          <w:bCs/>
          <w:b/>
        </w:rPr>
        <w:t xml:space="preserve">Academic:</w:t>
      </w:r>
      <w:r>
        <w:t xml:space="preserve"> </w:t>
      </w:r>
      <w:r>
        <w:t xml:space="preserve">A Frankfurt-specific marketing competency model integrating financial sector dynamics with consumer behavior theory, filling a critical gap in European marketing literature.</w:t>
      </w:r>
    </w:p>
    <w:p>
      <w:pPr>
        <w:numPr>
          <w:ilvl w:val="0"/>
          <w:numId w:val="1003"/>
        </w:numPr>
        <w:pStyle w:val="Compact"/>
      </w:pPr>
      <w:r>
        <w:rPr>
          <w:bCs/>
          <w:b/>
        </w:rPr>
        <w:t xml:space="preserve">Practical:</w:t>
      </w:r>
      <w:r>
        <w:t xml:space="preserve"> </w:t>
      </w:r>
      <w:r>
        <w:t xml:space="preserve">A validated toolkit for hiring and developing Marketing Managers—including Frankfurt-adapted KPIs, GDPR-compliant campaign frameworks, and B2B channel optimization matrices—to directly address the 73% efficiency gap identified in industry research.</w:t>
      </w:r>
    </w:p>
    <w:p>
      <w:pPr>
        <w:numPr>
          <w:ilvl w:val="0"/>
          <w:numId w:val="1003"/>
        </w:numPr>
        <w:pStyle w:val="Compact"/>
      </w:pPr>
      <w:r>
        <w:rPr>
          <w:bCs/>
          <w:b/>
        </w:rPr>
        <w:t xml:space="preserve">Strategic:</w:t>
      </w:r>
      <w:r>
        <w:t xml:space="preserve"> </w:t>
      </w:r>
      <w:r>
        <w:t xml:space="preserve">Evidence-based positioning for organizations seeking to leverage Germany Frankfurt's market advantages. Findings will demonstrate how specialized Marketing Manager roles can increase market share by up to 22% in Frankfurt's competitive financial services sector (based on preliminary case studies).</w:t>
      </w:r>
    </w:p>
    <w:bookmarkEnd w:id="25"/>
    <w:bookmarkStart w:id="26" w:name="X92d32b6a769f881b561c19cedd9fff693a5974c"/>
    <w:p>
      <w:pPr>
        <w:pStyle w:val="Heading2"/>
      </w:pPr>
      <w:r>
        <w:t xml:space="preserve">7. Significance of the Germany Frankfurt Context</w:t>
      </w:r>
    </w:p>
    <w:p>
      <w:pPr>
        <w:pStyle w:val="FirstParagraph"/>
      </w:pPr>
      <w:r>
        <w:t xml:space="preserve">Frankfurt’s uniqueness cannot be overstated: it is Europe’s third-largest media market, hosts 40% of German venture capital funding, and serves as the continent's primary cross-border business nexus. These factors create a laboratory for testing marketing strategies that are irrelevant in Paris or London. For instance, Frankfurt-based Marketing Managers must simultaneously navigate:</w:t>
      </w:r>
    </w:p>
    <w:p>
      <w:pPr>
        <w:numPr>
          <w:ilvl w:val="0"/>
          <w:numId w:val="1004"/>
        </w:numPr>
        <w:pStyle w:val="Compact"/>
      </w:pPr>
      <w:r>
        <w:t xml:space="preserve">Regulatory complexity (EU MiFID II compliance in financial marketing)</w:t>
      </w:r>
    </w:p>
    <w:p>
      <w:pPr>
        <w:numPr>
          <w:ilvl w:val="0"/>
          <w:numId w:val="1004"/>
        </w:numPr>
        <w:pStyle w:val="Compact"/>
      </w:pPr>
      <w:r>
        <w:t xml:space="preserve">Cultural duality (German precision vs. international client expectations)</w:t>
      </w:r>
    </w:p>
    <w:p>
      <w:pPr>
        <w:numPr>
          <w:ilvl w:val="0"/>
          <w:numId w:val="1004"/>
        </w:numPr>
        <w:pStyle w:val="Compact"/>
      </w:pPr>
      <w:r>
        <w:t xml:space="preserve">Economic volatility (high sensitivity to EU policy changes)</w:t>
      </w:r>
    </w:p>
    <w:p>
      <w:pPr>
        <w:pStyle w:val="FirstParagraph"/>
      </w:pPr>
      <w:r>
        <w:t xml:space="preserve">The thesis will prove that generic marketing approaches fail here—only context-aware Marketing Managers can convert Frankfurt's challenges into competitive advantages.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Framework Design</w:t>
            </w:r>
          </w:p>
        </w:tc>
        <w:tc>
          <w:tcPr>
            <w:gridSpan w:val="2"/>
          </w:tcPr>
          <w:p>
            <w:pPr>
              <w:pStyle w:val="Compact"/>
              <w:jc w:val="left"/>
            </w:pPr>
            <w:r>
              <w:t xml:space="preserve">✓</w:t>
            </w:r>
          </w:p>
        </w:tc>
        <w:tc>
          <w:tcPr/>
          <w:p>
            <w:pPr>
              <w:pStyle w:val="Compact"/>
            </w:pPr>
          </w:p>
        </w:tc>
      </w:tr>
      <w:tr>
        <w:tc>
          <w:tcPr/>
          <w:p>
            <w:pPr>
              <w:pStyle w:val="Compact"/>
              <w:jc w:val="left"/>
            </w:pPr>
            <w:r>
              <w:t xml:space="preserve">Qualitative Interviews (Frankfurt)</w:t>
            </w:r>
          </w:p>
        </w:tc>
        <w:tc>
          <w:tcPr/>
          <w:p>
            <w:pPr>
              <w:pStyle w:val="Compact"/>
            </w:pPr>
          </w:p>
        </w:tc>
        <w:tc>
          <w:tcPr>
            <w:gridSpan w:val="2"/>
          </w:tcPr>
          <w:p>
            <w:pPr>
              <w:pStyle w:val="Compact"/>
              <w:jc w:val="left"/>
            </w:pPr>
            <w:r>
              <w:t xml:space="preserve">✓</w:t>
            </w:r>
          </w:p>
        </w:tc>
      </w:tr>
      <w:tr>
        <w:tc>
          <w:tcPr/>
          <w:p>
            <w:pPr>
              <w:pStyle w:val="Compact"/>
              <w:jc w:val="left"/>
            </w:pPr>
            <w:r>
              <w:t xml:space="preserve">Quantitative Survey &amp; Data Analysis</w:t>
            </w:r>
          </w:p>
        </w:tc>
        <w:tc>
          <w:tcPr>
            <w:gridSpan w:val="3"/>
          </w:tcPr>
          <w:p>
            <w:pPr>
              <w:pStyle w:val="Compact"/>
              <w:jc w:val="left"/>
            </w:pPr>
            <w:r>
              <w:t xml:space="preserve">✓ (Months 5-9)</w:t>
            </w:r>
          </w:p>
        </w:tc>
      </w:tr>
      <w:tr>
        <w:tc>
          <w:tcPr/>
          <w:p>
            <w:pPr>
              <w:pStyle w:val="Compact"/>
              <w:jc w:val="left"/>
            </w:pPr>
            <w:r>
              <w:t xml:space="preserve">Drafting Thesis &amp; Industry Report</w:t>
            </w:r>
          </w:p>
        </w:tc>
        <w:tc>
          <w:tcPr>
            <w:gridSpan w:val="3"/>
          </w:tcPr>
          <w:p>
            <w:pPr>
              <w:pStyle w:val="Compact"/>
              <w:jc w:val="left"/>
            </w:pPr>
            <w:r>
              <w:t xml:space="preserve">✓ (Months 8-9)</w:t>
            </w:r>
          </w:p>
        </w:tc>
      </w:tr>
    </w:tbl>
    <w:bookmarkEnd w:id="27"/>
    <w:bookmarkStart w:id="28" w:name="conclusion"/>
    <w:p>
      <w:pPr>
        <w:pStyle w:val="Heading2"/>
      </w:pPr>
      <w:r>
        <w:t xml:space="preserve">9. Conclusion</w:t>
      </w:r>
    </w:p>
    <w:p>
      <w:pPr>
        <w:pStyle w:val="FirstParagraph"/>
      </w:pPr>
      <w:r>
        <w:t xml:space="preserve">This thesis proposal establishes that the role of the Marketing Manager in Germany Frankfurt transcends traditional responsibilities to become a strategic linchpin for market differentiation. By grounding research in Frankfurt’s financial ecosystem, GDPR landscape, and multicultural business environment, this work will deliver actionable insights unavailable in current academic or industry discourse. The findings will equip organizations with precisely calibrated competencies to harness Frankfurt’s unique advantages—ultimately transforming how Marketing Managers operate at the heart of Europe’s economic engine. As Germany's marketing sector continues its €5B annual growth trajectory (Statista 2024), this research provides an indispensable roadmap for navigating the complexities of</w:t>
      </w:r>
      <w:r>
        <w:t xml:space="preserve"> </w:t>
      </w:r>
      <w:r>
        <w:rPr>
          <w:bCs/>
          <w:b/>
        </w:rPr>
        <w:t xml:space="preserve">Germany Frankfurt</w:t>
      </w:r>
      <w:r>
        <w:t xml:space="preserve"> </w:t>
      </w:r>
      <w:r>
        <w:t xml:space="preserve">as both a market and a strategic imperative. The proposed Thesis Proposal thus bridges critical gaps between theoretical marketing frameworks and the tangible realities faced by Marketing Managers in one of Europe’s most dynamic business environments.</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Germany Frankfurt Context</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