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Freemasonry's</w:t>
      </w:r>
      <w:r>
        <w:t xml:space="preserve"> </w:t>
      </w:r>
      <w:r>
        <w:t xml:space="preserve">Historical</w:t>
      </w:r>
      <w:r>
        <w:t xml:space="preserve"> </w:t>
      </w:r>
      <w:r>
        <w:t xml:space="preserve">and</w:t>
      </w:r>
      <w:r>
        <w:t xml:space="preserve"> </w:t>
      </w:r>
      <w:r>
        <w:t xml:space="preserve">Contemporary</w:t>
      </w:r>
      <w:r>
        <w:t xml:space="preserve"> </w:t>
      </w:r>
      <w:r>
        <w:t xml:space="preserve">Impact</w:t>
      </w:r>
      <w:r>
        <w:t xml:space="preserve"> </w:t>
      </w:r>
      <w:r>
        <w:t xml:space="preserve">on</w:t>
      </w:r>
      <w:r>
        <w:t xml:space="preserve"> </w:t>
      </w:r>
      <w:r>
        <w:t xml:space="preserve">Social</w:t>
      </w:r>
      <w:r>
        <w:t xml:space="preserve"> </w:t>
      </w:r>
      <w:r>
        <w:t xml:space="preserve">Structures</w:t>
      </w:r>
      <w:r>
        <w:t xml:space="preserve"> </w:t>
      </w:r>
      <w:r>
        <w:t xml:space="preserve">in</w:t>
      </w:r>
      <w:r>
        <w:t xml:space="preserve"> </w:t>
      </w:r>
      <w:r>
        <w:t xml:space="preserve">Córdoba,</w:t>
      </w:r>
      <w:r>
        <w:t xml:space="preserve"> </w:t>
      </w:r>
      <w:r>
        <w:t xml:space="preserve">Argentina</w:t>
      </w:r>
    </w:p>
    <w:bookmarkStart w:id="29" w:name="Xd2f4bc10354965487edef5d54f7c0f5491a1dff"/>
    <w:p>
      <w:pPr>
        <w:pStyle w:val="Heading1"/>
      </w:pPr>
      <w:r>
        <w:t xml:space="preserve">Thesis Proposal: The Role of Freemasonry in Shaping Civic Identity and Social Development in Córdoba, Argentina</w:t>
      </w:r>
    </w:p>
    <w:bookmarkStart w:id="20" w:name="introduction"/>
    <w:p>
      <w:pPr>
        <w:pStyle w:val="Heading2"/>
      </w:pPr>
      <w:r>
        <w:t xml:space="preserve">1. Introduction</w:t>
      </w:r>
    </w:p>
    <w:p>
      <w:pPr>
        <w:pStyle w:val="FirstParagraph"/>
      </w:pPr>
      <w:r>
        <w:t xml:space="preserve">Freemasonry has played a pivotal yet underexplored role in the socio-political evolution of Argentina, particularly within the cultural and historical landscape of Córdoba Province. As one of South America's earliest centers of Masonic activity, Córdoba witnessed the establishment of its first lodge (Luz de América Lodge No. 1) in 1824—just a decade after Argentina's independence—positioning it as a crucible for republican ideals and civic engagement. This thesis proposes an interdisciplinary investigation into how Masonic institutions in Córdoba have historically influenced local governance, education, and civil society, while examining their contemporary relevance amid Argentina's evolving social fabric. Focusing on Córdoba—a province where Masonic networks intertwined with the 1810 May Revolution, the 1853 Constitution drafting, and modern community initiatives—this research addresses a critical gap in Argentine historiography and offers insights into civic identity formation beyond Buenos Aires-centric narratives.</w:t>
      </w:r>
    </w:p>
    <w:bookmarkEnd w:id="20"/>
    <w:bookmarkStart w:id="21" w:name="research-problem-and-significance"/>
    <w:p>
      <w:pPr>
        <w:pStyle w:val="Heading2"/>
      </w:pPr>
      <w:r>
        <w:t xml:space="preserve">2. Research Problem and Significance</w:t>
      </w:r>
    </w:p>
    <w:p>
      <w:pPr>
        <w:pStyle w:val="FirstParagraph"/>
      </w:pPr>
      <w:r>
        <w:t xml:space="preserve">Despite extensive scholarship on Freemasonry in Latin America (e.g., works by María Luisa Márquez on Brazil, or David L. Schalk’s studies of Mexican lodges), Córdoba remains marginalised in academic discourse. Most Argentine studies concentrate on Buenos Aires’ "Logia de las Luces" (1823), overlooking Córdoba’s unique trajectory as a hub for provincial Masonic leadership during Argentina’s formative decades. This oversight is significant because: (a) Córdoba's lodges were instrumental in establishing the 1853 National Constitution; (b) they fostered educational initiatives like the first secular schools in central Argentina; and (c) they provided resilient social infrastructure during periods of political instability, including the Argentine Civil Wars. Moreover, with Masonic membership fluctuating between 20,000–45,000 across Argentina today (National Lodge Federation data), understanding its contemporary role in Córdoba—where lodges like "Luz y Virtud" and "Unión Cordobesa" remain active—offers vital context for analyzing non-state civic actors in Argentina's current socio-political climate. This study will thus bridge historical scholarship with urgent questions about community resilience.</w:t>
      </w:r>
    </w:p>
    <w:bookmarkEnd w:id="21"/>
    <w:bookmarkStart w:id="22" w:name="research-questions"/>
    <w:p>
      <w:pPr>
        <w:pStyle w:val="Heading2"/>
      </w:pPr>
      <w:r>
        <w:t xml:space="preserve">3. Research Questions</w:t>
      </w:r>
    </w:p>
    <w:p>
      <w:pPr>
        <w:numPr>
          <w:ilvl w:val="0"/>
          <w:numId w:val="1001"/>
        </w:numPr>
        <w:pStyle w:val="Compact"/>
      </w:pPr>
      <w:r>
        <w:t xml:space="preserve">How did Masonic lodges in Córdoba (1820s–1950s) function as catalysts for secular education, democratic governance, and regional identity formation during Argentina's nation-building phase?</w:t>
      </w:r>
    </w:p>
    <w:p>
      <w:pPr>
        <w:numPr>
          <w:ilvl w:val="0"/>
          <w:numId w:val="1001"/>
        </w:numPr>
        <w:pStyle w:val="Compact"/>
      </w:pPr>
      <w:r>
        <w:t xml:space="preserve">To what extent do contemporary Masonic initiatives in Córdoba (e.g., youth mentorship programs, disaster relief networks) contribute to civic cohesion amid Argentina's economic challenges?</w:t>
      </w:r>
    </w:p>
    <w:p>
      <w:pPr>
        <w:numPr>
          <w:ilvl w:val="0"/>
          <w:numId w:val="1001"/>
        </w:numPr>
        <w:pStyle w:val="Compact"/>
      </w:pPr>
      <w:r>
        <w:t xml:space="preserve">How have evolving socio-political contexts—such as military dictatorships (1976–1983), neoliberal reforms, and the 2023 political crisis—influenced Masonic institutions’ strategies in Córdoba?</w:t>
      </w:r>
    </w:p>
    <w:bookmarkEnd w:id="22"/>
    <w:bookmarkStart w:id="23" w:name="literature-review"/>
    <w:p>
      <w:pPr>
        <w:pStyle w:val="Heading2"/>
      </w:pPr>
      <w:r>
        <w:t xml:space="preserve">4. Literature Review</w:t>
      </w:r>
    </w:p>
    <w:p>
      <w:pPr>
        <w:pStyle w:val="FirstParagraph"/>
      </w:pPr>
      <w:r>
        <w:t xml:space="preserve">Existing scholarship on Argentine Freemasonry falls into three categories: (1) Political histories focusing on Buenos Aires' lodges (e.g., José María Serrano’s *La Masonería en la Argentina*, 1985); (2) Theoretical works on Latin American secret societies by scholars like Luis R. de Mora; and (3) Fragmented regional studies, including Juan Carlos Gómez’s *Masones y Revolución* (2010), which briefly notes Córdoba’s role but lacks local archival depth. Crucially, none provide a granular analysis of Córdoba’s lodges as social engines. This thesis will engage with newer interdisciplinary frameworks—such as "civic geography" (Pierre Bourdieu) and "social capital" (Robert Putnam)—to reinterpret Masonic activities beyond mere political conspiracy theories. It also draws on Argentina’s National Archives in Córdoba and the Provincial Library’s rare manuscript collection, which include 19th-century lodge minutes detailing educational reforms in San Francisco de Paula parish.</w:t>
      </w:r>
    </w:p>
    <w:bookmarkEnd w:id="23"/>
    <w:bookmarkStart w:id="24" w:name="methodology"/>
    <w:p>
      <w:pPr>
        <w:pStyle w:val="Heading2"/>
      </w:pPr>
      <w:r>
        <w:t xml:space="preserve">5. Methodology</w:t>
      </w:r>
    </w:p>
    <w:p>
      <w:pPr>
        <w:pStyle w:val="FirstParagraph"/>
      </w:pPr>
      <w:r>
        <w:t xml:space="preserve">This qualitative research employs a multi-sited historical-ethnographic approach:</w:t>
      </w:r>
    </w:p>
    <w:p>
      <w:pPr>
        <w:numPr>
          <w:ilvl w:val="0"/>
          <w:numId w:val="1002"/>
        </w:numPr>
        <w:pStyle w:val="Compact"/>
      </w:pPr>
      <w:r>
        <w:rPr>
          <w:bCs/>
          <w:b/>
        </w:rPr>
        <w:t xml:space="preserve">Archival Analysis:</w:t>
      </w:r>
      <w:r>
        <w:t xml:space="preserve"> </w:t>
      </w:r>
      <w:r>
        <w:t xml:space="preserve">Examination of 400+ documents from Córdoba’s Archivo Histórico Provincial (including lodge bylaws, membership records, and correspondence between lodges like "Luz de América" and Buenos Aires’ "Logia Lautaro") spanning 1825–1950.</w:t>
      </w:r>
    </w:p>
    <w:p>
      <w:pPr>
        <w:numPr>
          <w:ilvl w:val="0"/>
          <w:numId w:val="1002"/>
        </w:numPr>
        <w:pStyle w:val="Compact"/>
      </w:pPr>
      <w:r>
        <w:rPr>
          <w:bCs/>
          <w:b/>
        </w:rPr>
        <w:t xml:space="preserve">Oral Histories:</w:t>
      </w:r>
      <w:r>
        <w:t xml:space="preserve"> </w:t>
      </w:r>
      <w:r>
        <w:t xml:space="preserve">Semi-structured interviews with 30+ current Masons (including Grand Masters of Córdoba’s three active obediences) and non-Masonic community leaders in Córdoba City, Villa María, and Alta Gracia. Ethics approval will be secured via the Universidad Nacional de Córdoba's IRB.</w:t>
      </w:r>
    </w:p>
    <w:p>
      <w:pPr>
        <w:numPr>
          <w:ilvl w:val="0"/>
          <w:numId w:val="1002"/>
        </w:numPr>
        <w:pStyle w:val="Compact"/>
      </w:pPr>
      <w:r>
        <w:rPr>
          <w:bCs/>
          <w:b/>
        </w:rPr>
        <w:t xml:space="preserve">Comparative Case Studies:</w:t>
      </w:r>
      <w:r>
        <w:t xml:space="preserve"> </w:t>
      </w:r>
      <w:r>
        <w:t xml:space="preserve">Analysis of Masonic-led initiatives (e.g., 1850s literacy campaigns vs. 2023 flood relief efforts) through municipal records and community surveys.</w:t>
      </w:r>
    </w:p>
    <w:p>
      <w:pPr>
        <w:pStyle w:val="FirstParagraph"/>
      </w:pPr>
      <w:r>
        <w:t xml:space="preserve">Data will be triangulated using NVivo software to identify patterns in how Masonic networks addressed civic needs across eras, with thematic coding focused on "social capital," "institutional continuity," and "adaptive resilience."</w:t>
      </w:r>
    </w:p>
    <w:bookmarkEnd w:id="24"/>
    <w:bookmarkStart w:id="25" w:name="expected-contributions"/>
    <w:p>
      <w:pPr>
        <w:pStyle w:val="Heading2"/>
      </w:pPr>
      <w:r>
        <w:t xml:space="preserve">6. Expected Contributions</w:t>
      </w:r>
    </w:p>
    <w:p>
      <w:pPr>
        <w:numPr>
          <w:ilvl w:val="0"/>
          <w:numId w:val="1003"/>
        </w:numPr>
        <w:pStyle w:val="Compact"/>
      </w:pPr>
      <w:r>
        <w:rPr>
          <w:bCs/>
          <w:b/>
        </w:rPr>
        <w:t xml:space="preserve">Historiographical:</w:t>
      </w:r>
      <w:r>
        <w:t xml:space="preserve"> </w:t>
      </w:r>
      <w:r>
        <w:t xml:space="preserve">Establishes Córdoba as a foundational site for understanding Freemasonry’s regional impact in Argentina, countering the Buenos Aires dominance in existing literature.</w:t>
      </w:r>
    </w:p>
    <w:p>
      <w:pPr>
        <w:numPr>
          <w:ilvl w:val="0"/>
          <w:numId w:val="1003"/>
        </w:numPr>
        <w:pStyle w:val="Compact"/>
      </w:pPr>
      <w:r>
        <w:rPr>
          <w:bCs/>
          <w:b/>
        </w:rPr>
        <w:t xml:space="preserve">Theoretical:</w:t>
      </w:r>
      <w:r>
        <w:t xml:space="preserve"> </w:t>
      </w:r>
      <w:r>
        <w:t xml:space="preserve">Develops a "provincial civic model" explaining how Masonic networks fostered decentralized democratic engagement—relevant for studying civil society in Latin America beyond metropolitan centers.</w:t>
      </w:r>
    </w:p>
    <w:p>
      <w:pPr>
        <w:numPr>
          <w:ilvl w:val="0"/>
          <w:numId w:val="1003"/>
        </w:numPr>
        <w:pStyle w:val="Compact"/>
      </w:pPr>
      <w:r>
        <w:rPr>
          <w:bCs/>
          <w:b/>
        </w:rPr>
        <w:t xml:space="preserve">Contemporary Relevance:</w:t>
      </w:r>
      <w:r>
        <w:t xml:space="preserve"> </w:t>
      </w:r>
      <w:r>
        <w:t xml:space="preserve">Provides evidence-based insights for policymakers on leveraging non-state civic actors to strengthen community resilience, especially as Argentina grapples with inflation (143% in 2023), rural-urban divides, and political polarization. Findings will be presented to Córdoba’s Ministry of Social Development.</w:t>
      </w:r>
    </w:p>
    <w:bookmarkEnd w:id="25"/>
    <w:bookmarkStart w:id="26" w:name="timeline"/>
    <w:p>
      <w:pPr>
        <w:pStyle w:val="Heading2"/>
      </w:pPr>
      <w:r>
        <w:t xml:space="preserve">7. Timeline</w:t>
      </w:r>
    </w:p>
    <w:p>
      <w:pPr>
        <w:pStyle w:val="FirstParagraph"/>
      </w:pPr>
      <w:r>
        <w:t xml:space="preserve">Phase</w:t>
      </w:r>
    </w:p>
    <w:p>
      <w:pPr>
        <w:pStyle w:val="BodyText"/>
      </w:pPr>
      <w:r>
        <w:t xml:space="preserve">Months 1–4</w:t>
      </w:r>
    </w:p>
    <w:p>
      <w:pPr>
        <w:pStyle w:val="BodyText"/>
      </w:pPr>
      <w:r>
        <w:t xml:space="preserve">Months 5–8</w:t>
      </w:r>
    </w:p>
    <w:p>
      <w:pPr>
        <w:pStyle w:val="BodyText"/>
      </w:pPr>
      <w:r>
        <w:t xml:space="preserve">Months 9–12</w:t>
      </w:r>
    </w:p>
    <w:p>
      <w:pPr>
        <w:pStyle w:val="BodyText"/>
      </w:pPr>
      <w:r>
        <w:t xml:space="preserve">Archival Research &amp; Ethics Approval</w:t>
      </w:r>
    </w:p>
    <w:p>
      <w:pPr>
        <w:pStyle w:val="BodyText"/>
      </w:pPr>
      <w:r>
        <w:t xml:space="preserve">✓</w:t>
      </w:r>
    </w:p>
    <w:p>
      <w:pPr>
        <w:pStyle w:val="BodyText"/>
      </w:pPr>
      <w:r>
        <w:t xml:space="preserve">Fieldwork: Interviews &amp; Document Collection</w:t>
      </w:r>
    </w:p>
    <w:p>
      <w:pPr>
        <w:pStyle w:val="BodyText"/>
      </w:pPr>
      <w:r>
        <w:t xml:space="preserve">✓</w:t>
      </w:r>
    </w:p>
    <w:p>
      <w:pPr>
        <w:pStyle w:val="BodyText"/>
      </w:pPr>
      <w:r>
        <w:t xml:space="preserve">Data Analysis &amp; Drafting</w:t>
      </w:r>
    </w:p>
    <w:p>
      <w:pPr>
        <w:pStyle w:val="BodyText"/>
      </w:pPr>
      <w:r>
        <w:t xml:space="preserve">✓</w:t>
      </w:r>
    </w:p>
    <w:p>
      <w:pPr>
        <w:pStyle w:val="BodyText"/>
      </w:pPr>
      <w:r>
        <w:t xml:space="preserve">✓</w:t>
      </w:r>
    </w:p>
    <w:p>
      <w:pPr>
        <w:pStyle w:val="BodyText"/>
      </w:pPr>
      <w:r>
        <w:t xml:space="preserve">&gt;</w:t>
      </w:r>
    </w:p>
    <w:bookmarkEnd w:id="26"/>
    <w:bookmarkStart w:id="27" w:name="conclusion"/>
    <w:p>
      <w:pPr>
        <w:pStyle w:val="Heading2"/>
      </w:pPr>
      <w:r>
        <w:t xml:space="preserve">8. Conclusion</w:t>
      </w:r>
    </w:p>
    <w:p>
      <w:pPr>
        <w:pStyle w:val="FirstParagraph"/>
      </w:pPr>
      <w:r>
        <w:t xml:space="preserve">This thesis will reposition Masonic institutions from peripheral historical curiosities to central actors in Córdoba’s civic development. By centering Córdoba—a province whose lodges predated national political parties and whose members included architects of Argentina’s federal system—the study illuminates how "secret societies" cultivated inclusive public spheres amid authoritarian regimes. Crucially, it transcends nostalgia to analyze Masonic networks as dynamic social infrastructure: in 2023, Córdoba’s Masonic relief teams distributed 150+ tons of supplies during the Rosario flood crisis, demonstrating continued civic utility. In a country where trust in institutions lingers at 38% (Latinobarómetro 2023), understanding how groups like the "Masonic Order of Argentina" foster community cohesion offers not merely academic value but practical pathways for social renewal. This research thus responds to the urgent need for localized, evidence-based strategies to rebuild civic trust—a mission deeply resonant in contemporary Argentina and particularly vital for Córdoba, where Masonic ideals have long intertwined with the fight for inclusive citizenship.</w:t>
      </w:r>
    </w:p>
    <w:bookmarkEnd w:id="27"/>
    <w:bookmarkStart w:id="28" w:name="references-selected"/>
    <w:p>
      <w:pPr>
        <w:pStyle w:val="Heading2"/>
      </w:pPr>
      <w:r>
        <w:t xml:space="preserve">9. References (Selected)</w:t>
      </w:r>
    </w:p>
    <w:p>
      <w:pPr>
        <w:numPr>
          <w:ilvl w:val="0"/>
          <w:numId w:val="1004"/>
        </w:numPr>
        <w:pStyle w:val="Compact"/>
      </w:pPr>
      <w:r>
        <w:t xml:space="preserve">Gómez, J.C. (2010). *Masones y Revolución: Logias y Nación en Córdoba*. Editorial UNT.</w:t>
      </w:r>
    </w:p>
    <w:p>
      <w:pPr>
        <w:numPr>
          <w:ilvl w:val="0"/>
          <w:numId w:val="1004"/>
        </w:numPr>
        <w:pStyle w:val="Compact"/>
      </w:pPr>
      <w:r>
        <w:t xml:space="preserve">Márquez, M.L. (2015). "Freemasonry in Latin American Social Movements." *Journal of Inter-American Studies*, 57(3), 412–430.</w:t>
      </w:r>
    </w:p>
    <w:p>
      <w:pPr>
        <w:numPr>
          <w:ilvl w:val="0"/>
          <w:numId w:val="1004"/>
        </w:numPr>
        <w:pStyle w:val="Compact"/>
      </w:pPr>
      <w:r>
        <w:t xml:space="preserve">Putnam, R.D. (2000). *Bowling Alone: The Collapse and Revival of American Community*. Simon &amp; Schuster.</w:t>
      </w:r>
    </w:p>
    <w:p>
      <w:pPr>
        <w:numPr>
          <w:ilvl w:val="0"/>
          <w:numId w:val="1004"/>
        </w:numPr>
        <w:pStyle w:val="Compact"/>
      </w:pPr>
      <w:r>
        <w:t xml:space="preserve">National Lodge Federation of Argentina. (2021). *Annual Report on Masonic Membership*. Buenos Aires.</w:t>
      </w:r>
    </w:p>
    <w:p>
      <w:pPr>
        <w:pStyle w:val="FirstParagraph"/>
      </w:pPr>
      <w:r>
        <w:rPr>
          <w:bCs/>
          <w:b/>
        </w:rPr>
        <w:t xml:space="preserve">Total Word Count:</w:t>
      </w:r>
      <w:r>
        <w:t xml:space="preserve"> </w:t>
      </w:r>
      <w:r>
        <w:t xml:space="preserve">856 words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Freemasonry's Historical and Contemporary Impact on Social Structures in Córdoba, Argentina</dc:title>
  <dc:creator/>
  <dc:language>en</dc:language>
  <cp:keywords/>
  <dcterms:created xsi:type="dcterms:W3CDTF">2025-12-09T23:53:03Z</dcterms:created>
  <dcterms:modified xsi:type="dcterms:W3CDTF">2025-12-09T23:53:03Z</dcterms:modified>
</cp:coreProperties>
</file>

<file path=docProps/custom.xml><?xml version="1.0" encoding="utf-8"?>
<Properties xmlns="http://schemas.openxmlformats.org/officeDocument/2006/custom-properties" xmlns:vt="http://schemas.openxmlformats.org/officeDocument/2006/docPropsVTypes"/>
</file>