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Australia</w:t>
      </w:r>
      <w:r>
        <w:t xml:space="preserve"> </w:t>
      </w:r>
      <w:r>
        <w:t xml:space="preserve">Brisbane</w:t>
      </w:r>
    </w:p>
    <w:bookmarkStart w:id="30" w:name="X53f43f297898f11d1ccee80c4a14c3d3798b89c"/>
    <w:p>
      <w:pPr>
        <w:pStyle w:val="Heading1"/>
      </w:pPr>
      <w:r>
        <w:t xml:space="preserve">Thesis Proposal: Advancing Sustainable Urban Resilience through Green Infrastructure Integration in Australia Brisbane</w:t>
      </w:r>
    </w:p>
    <w:bookmarkStart w:id="29" w:name="Xa973879f47d245e8d5581e796f426f207cd1403"/>
    <w:p>
      <w:pPr>
        <w:pStyle w:val="Heading2"/>
      </w:pPr>
      <w:r>
        <w:t xml:space="preserve">Prepared by Mason for the Faculty of Built Environment, University of Queensland, Brisbane</w:t>
      </w:r>
    </w:p>
    <w:p>
      <w:pPr>
        <w:pStyle w:val="FirstParagraph"/>
      </w:pPr>
      <w:r>
        <w:rPr>
          <w:bCs/>
          <w:b/>
        </w:rPr>
        <w:t xml:space="preserve">Submitted to:</w:t>
      </w:r>
      <w:r>
        <w:t xml:space="preserve"> </w:t>
      </w:r>
      <w:r>
        <w:t xml:space="preserve">School of Architecture and Planning, The University of Queensland</w:t>
      </w:r>
      <w:r>
        <w:br/>
      </w:r>
      <w:r>
        <w:rPr>
          <w:bCs/>
          <w:b/>
        </w:rPr>
        <w:t xml:space="preserve">Date:</w:t>
      </w:r>
      <w:r>
        <w:t xml:space="preserve"> </w:t>
      </w:r>
      <w:r>
        <w:t xml:space="preserve">October 26, 2023</w:t>
      </w:r>
      <w:r>
        <w:br/>
      </w:r>
      <w:r>
        <w:rPr>
          <w:bCs/>
          <w:b/>
        </w:rPr>
        <w:t xml:space="preserve">Research Candidate:</w:t>
      </w:r>
      <w:r>
        <w:t xml:space="preserve"> </w:t>
      </w:r>
      <w:r>
        <w:t xml:space="preserve">Mason</w:t>
      </w:r>
    </w:p>
    <w:bookmarkStart w:id="20" w:name="i.-introduction-and-research-context"/>
    <w:p>
      <w:pPr>
        <w:pStyle w:val="Heading3"/>
      </w:pPr>
      <w:r>
        <w:t xml:space="preserve">I. Introduction and Research Context</w:t>
      </w:r>
    </w:p>
    <w:p>
      <w:pPr>
        <w:pStyle w:val="FirstParagraph"/>
      </w:pPr>
      <w:r>
        <w:t xml:space="preserve">In the rapidly evolving urban landscape of Australia Brisbane, sustainable development has become a critical imperative. As one of Australia's fastest-growing cities facing intensifying climate challenges—including extreme heatwaves, flooding events, and biodiversity loss—Brisbane exemplifies the urgent need for innovative urban planning solutions. This Thesis Proposal outlines Mason's doctoral research focused on integrating green infrastructure systems into Brisbane's urban fabric to enhance climate resilience while promoting social equity. The proposal emerges from Mason's firsthand experience navigating Brisbane's unique environmental and socio-cultural dynamics during his master's studies at the University of Queensland, where he observed how fragmented policy approaches hindered effective climate adaptation in Australia Brisbane.</w:t>
      </w:r>
    </w:p>
    <w:bookmarkEnd w:id="20"/>
    <w:bookmarkStart w:id="21" w:name="ii.-problem-statement"/>
    <w:p>
      <w:pPr>
        <w:pStyle w:val="Heading3"/>
      </w:pPr>
      <w:r>
        <w:t xml:space="preserve">II. Problem Statement</w:t>
      </w:r>
    </w:p>
    <w:p>
      <w:pPr>
        <w:pStyle w:val="FirstParagraph"/>
      </w:pPr>
      <w:r>
        <w:t xml:space="preserve">Despite Brisbane Council’s 2021 Climate Strategy committing to net-zero emissions by 2050, current urban planning practices remain siloed and reactive. Critical gaps persist in translating global sustainability frameworks into context-specific Brisbane solutions—particularly regarding equitable access to green spaces and adaptive infrastructure. Mason's research identifies three interrelated problems: (1) Inadequate integration of green infrastructure within Brisbane's transport corridors; (2) Disproportionate vulnerability of low-income communities to climate hazards; and (3) Fragmented governance across 32 Brisbane City Council wards. These issues directly threaten Australia Brisbane’s long-term livability, economic productivity, and social cohesion—a reality Mason witnessed during community consultations in inner-city suburbs like West End and Woolloongabba.</w:t>
      </w:r>
    </w:p>
    <w:bookmarkEnd w:id="21"/>
    <w:bookmarkStart w:id="22" w:name="iii.-literature-review-synthesis"/>
    <w:p>
      <w:pPr>
        <w:pStyle w:val="Heading3"/>
      </w:pPr>
      <w:r>
        <w:t xml:space="preserve">III. Literature Review Synthesis</w:t>
      </w:r>
    </w:p>
    <w:p>
      <w:pPr>
        <w:pStyle w:val="FirstParagraph"/>
      </w:pPr>
      <w:r>
        <w:t xml:space="preserve">Existing scholarship (e.g., Wong et al., 2021; IPCC, 2022) emphasizes green infrastructure's potential for urban cooling and flood mitigation but overlooks Brisbane’s specific hydrological challenges and socio-economic diversity. Australian studies by Dobbie (2019) highlight Brisbane’s "green space gap" in disadvantaged suburbs, yet no research has quantified the spatial mismatch between climate vulnerability zones and green infrastructure investment. Mason's literature review reveals a critical absence of participatory frameworks co-designed with Brisbane residents—particularly Indigenous communities and migrant populations. This Thesis Proposal directly addresses this void by proposing an action-research model grounded in Brisbane's urban reality, ensuring solutions are not merely technically sound but socially embedded within Australia Brisbane.</w:t>
      </w:r>
    </w:p>
    <w:bookmarkEnd w:id="22"/>
    <w:bookmarkStart w:id="23" w:name="iv.-research-objectives-and-questions"/>
    <w:p>
      <w:pPr>
        <w:pStyle w:val="Heading3"/>
      </w:pPr>
      <w:r>
        <w:t xml:space="preserve">IV. Research Objectives and Questions</w:t>
      </w:r>
    </w:p>
    <w:p>
      <w:pPr>
        <w:pStyle w:val="FirstParagraph"/>
      </w:pPr>
      <w:r>
        <w:t xml:space="preserve">Mason’s Thesis Proposal advances three interconnected objectives:</w:t>
      </w:r>
    </w:p>
    <w:p>
      <w:pPr>
        <w:numPr>
          <w:ilvl w:val="0"/>
          <w:numId w:val="1001"/>
        </w:numPr>
        <w:pStyle w:val="Compact"/>
      </w:pPr>
      <w:r>
        <w:t xml:space="preserve">To map Brisbane’s climate vulnerability hotspots using high-resolution geospatial data (2018–2023) and correlate them with existing green infrastructure assets.</w:t>
      </w:r>
    </w:p>
    <w:p>
      <w:pPr>
        <w:numPr>
          <w:ilvl w:val="0"/>
          <w:numId w:val="1001"/>
        </w:numPr>
        <w:pStyle w:val="Compact"/>
      </w:pPr>
      <w:r>
        <w:t xml:space="preserve">To co-design a scalable "Green Resilience Framework" with diverse Brisbane stakeholders (residents, planners, ecologists) ensuring equitable access to climate-adaptive spaces.</w:t>
      </w:r>
    </w:p>
    <w:p>
      <w:pPr>
        <w:numPr>
          <w:ilvl w:val="0"/>
          <w:numId w:val="1001"/>
        </w:numPr>
        <w:pStyle w:val="Compact"/>
      </w:pPr>
      <w:r>
        <w:t xml:space="preserve">To model socio-economic and environmental outcomes of the proposed framework across three distinct Brisbane precincts: a high-density urban core (Fortitude Valley), a riverine floodplain community (Milton), and an emerging suburb (Bundall).</w:t>
      </w:r>
    </w:p>
    <w:p>
      <w:pPr>
        <w:pStyle w:val="FirstParagraph"/>
      </w:pPr>
      <w:r>
        <w:t xml:space="preserve">Key research questions guiding Mason's investigation include: How can green infrastructure be strategically deployed to maximize climate adaptation benefits in Brisbane’s most vulnerable neighborhoods? What governance mechanisms would ensure long-term maintenance and community ownership of these assets in Australia Brisbane?</w:t>
      </w:r>
    </w:p>
    <w:bookmarkEnd w:id="23"/>
    <w:bookmarkStart w:id="24" w:name="v.-methodology"/>
    <w:p>
      <w:pPr>
        <w:pStyle w:val="Heading3"/>
      </w:pPr>
      <w:r>
        <w:t xml:space="preserve">V. Methodology</w:t>
      </w:r>
    </w:p>
    <w:p>
      <w:pPr>
        <w:pStyle w:val="FirstParagraph"/>
      </w:pPr>
      <w:r>
        <w:t xml:space="preserve">Mason adopts a mixed-methods approach tailored to Queensland’s urban context:</w:t>
      </w:r>
    </w:p>
    <w:p>
      <w:pPr>
        <w:numPr>
          <w:ilvl w:val="0"/>
          <w:numId w:val="1002"/>
        </w:numPr>
        <w:pStyle w:val="Compact"/>
      </w:pPr>
      <w:r>
        <w:rPr>
          <w:bCs/>
          <w:b/>
        </w:rPr>
        <w:t xml:space="preserve">Phase 1 (6 months):</w:t>
      </w:r>
      <w:r>
        <w:t xml:space="preserve"> </w:t>
      </w:r>
      <w:r>
        <w:t xml:space="preserve">Geospatial analysis using GIS platforms to overlay climate risk data (Brisbane City Council, 2023) with existing parks, urban forests, and stormwater systems across Brisbane. This will identify "green infrastructure gaps" in socioeconomically disadvantaged areas.</w:t>
      </w:r>
    </w:p>
    <w:p>
      <w:pPr>
        <w:numPr>
          <w:ilvl w:val="0"/>
          <w:numId w:val="1002"/>
        </w:numPr>
        <w:pStyle w:val="Compact"/>
      </w:pPr>
      <w:r>
        <w:rPr>
          <w:bCs/>
          <w:b/>
        </w:rPr>
        <w:t xml:space="preserve">Phase 2 (8 months):</w:t>
      </w:r>
      <w:r>
        <w:t xml:space="preserve"> </w:t>
      </w:r>
      <w:r>
        <w:t xml:space="preserve">Participatory workshops with Brisbane residents through community hubs like the South Bank Cultural Precinct. Mason will employ photovoice methodology—equipping marginalized groups to document their climate experiences—to ensure grassroots voices shape the framework.</w:t>
      </w:r>
    </w:p>
    <w:p>
      <w:pPr>
        <w:numPr>
          <w:ilvl w:val="0"/>
          <w:numId w:val="1002"/>
        </w:numPr>
        <w:pStyle w:val="Compact"/>
      </w:pPr>
      <w:r>
        <w:rPr>
          <w:bCs/>
          <w:b/>
        </w:rPr>
        <w:t xml:space="preserve">Phase 3 (10 months):</w:t>
      </w:r>
      <w:r>
        <w:t xml:space="preserve"> </w:t>
      </w:r>
      <w:r>
        <w:t xml:space="preserve">Development and simulation of the Green Resilience Framework using urban design software (e.g., Envirosim), validated through stakeholder feedback with Brisbane City Council’s Climate Action Unit and Indigenous Land Use Agreement partners.</w:t>
      </w:r>
    </w:p>
    <w:bookmarkEnd w:id="24"/>
    <w:bookmarkStart w:id="25" w:name="vi.-expected-contributions"/>
    <w:p>
      <w:pPr>
        <w:pStyle w:val="Heading3"/>
      </w:pPr>
      <w:r>
        <w:t xml:space="preserve">VI. Expected Contributions</w:t>
      </w:r>
    </w:p>
    <w:p>
      <w:pPr>
        <w:pStyle w:val="FirstParagraph"/>
      </w:pPr>
      <w:r>
        <w:t xml:space="preserve">This Thesis Proposal promises transformative contributions to Australia Brisbane and global urban scholarship:</w:t>
      </w:r>
    </w:p>
    <w:p>
      <w:pPr>
        <w:numPr>
          <w:ilvl w:val="0"/>
          <w:numId w:val="1003"/>
        </w:numPr>
        <w:pStyle w:val="Compact"/>
      </w:pPr>
      <w:r>
        <w:rPr>
          <w:bCs/>
          <w:b/>
        </w:rPr>
        <w:t xml:space="preserve">Policy Impact:</w:t>
      </w:r>
      <w:r>
        <w:t xml:space="preserve"> </w:t>
      </w:r>
      <w:r>
        <w:t xml:space="preserve">A replicable model for Brisbane Council’s Climate Adaptation Plan, directly addressing the 2024 Queensland Government Urban Resilience Strategy.</w:t>
      </w:r>
    </w:p>
    <w:p>
      <w:pPr>
        <w:numPr>
          <w:ilvl w:val="0"/>
          <w:numId w:val="1003"/>
        </w:numPr>
        <w:pStyle w:val="Compact"/>
      </w:pPr>
      <w:r>
        <w:rPr>
          <w:bCs/>
          <w:b/>
        </w:rPr>
        <w:t xml:space="preserve">Academic Innovation:</w:t>
      </w:r>
      <w:r>
        <w:t xml:space="preserve"> </w:t>
      </w:r>
      <w:r>
        <w:t xml:space="preserve">First comprehensive study on socio-spatial equity in Brisbane's green infrastructure deployment, challenging top-down planning paradigms.</w:t>
      </w:r>
    </w:p>
    <w:p>
      <w:pPr>
        <w:numPr>
          <w:ilvl w:val="0"/>
          <w:numId w:val="1003"/>
        </w:numPr>
        <w:pStyle w:val="Compact"/>
      </w:pPr>
      <w:r>
        <w:rPr>
          <w:bCs/>
          <w:b/>
        </w:rPr>
        <w:t xml:space="preserve">Social Value:</w:t>
      </w:r>
      <w:r>
        <w:t xml:space="preserve"> </w:t>
      </w:r>
      <w:r>
        <w:t xml:space="preserve">Enhanced climate preparedness for 200,000+ Brisbane residents in heat-vulnerable communities (per ABS Census data), aligning with Australia’s National Climate Resilience Goal.</w:t>
      </w:r>
    </w:p>
    <w:p>
      <w:pPr>
        <w:pStyle w:val="FirstParagraph"/>
      </w:pPr>
      <w:r>
        <w:t xml:space="preserve">Mason emphasizes that this research will not merely produce academic outputs but catalyse tangible change in Australia Brisbane. By centering community voices and leveraging Brisbane's unique geography—where the Brisbane River divides urban ecosystems—the Thesis Proposal ensures solutions are inherently place-based rather than imported from overseas models.</w:t>
      </w:r>
    </w:p>
    <w:bookmarkEnd w:id="25"/>
    <w:bookmarkStart w:id="26" w:name="vii.-timeline-and-resources"/>
    <w:p>
      <w:pPr>
        <w:pStyle w:val="Heading3"/>
      </w:pPr>
      <w:r>
        <w:t xml:space="preserve">VII. Timeline and Resources</w:t>
      </w:r>
    </w:p>
    <w:p>
      <w:pPr>
        <w:pStyle w:val="FirstParagraph"/>
      </w:pPr>
      <w:r>
        <w:t xml:space="preserve">Mason’s 48-month research journey in Australia Brisbane is structured as follows:</w:t>
      </w:r>
    </w:p>
    <w:p>
      <w:pPr>
        <w:pStyle w:val="BodyText"/>
      </w:pPr>
      <w:r>
        <w:t xml:space="preserve">Phase</w:t>
      </w:r>
    </w:p>
    <w:p>
      <w:pPr>
        <w:pStyle w:val="BodyText"/>
      </w:pPr>
      <w:r>
        <w:t xml:space="preserve">Timeline</w:t>
      </w:r>
    </w:p>
    <w:p>
      <w:pPr>
        <w:pStyle w:val="BodyText"/>
      </w:pPr>
      <w:r>
        <w:t xml:space="preserve">Deliverable</w:t>
      </w:r>
    </w:p>
    <w:p>
      <w:pPr>
        <w:pStyle w:val="BodyText"/>
      </w:pPr>
      <w:r>
        <w:t xml:space="preserve">Literature Review &amp; Design</w:t>
      </w:r>
    </w:p>
    <w:p>
      <w:pPr>
        <w:pStyle w:val="BodyText"/>
      </w:pPr>
      <w:r>
        <w:t xml:space="preserve">Months 1–6</w:t>
      </w:r>
    </w:p>
    <w:p>
      <w:pPr>
        <w:pStyle w:val="BodyText"/>
      </w:pPr>
      <w:r>
        <w:t xml:space="preserve">Finalized research framework with Queensland government partners</w:t>
      </w:r>
    </w:p>
    <w:p>
      <w:pPr>
        <w:pStyle w:val="BodyText"/>
      </w:pPr>
      <w:r>
        <w:t xml:space="preserve">Data Collection &amp; Workshops</w:t>
      </w:r>
    </w:p>
    <w:p>
      <w:pPr>
        <w:pStyle w:val="BodyText"/>
      </w:pPr>
      <w:r>
        <w:t xml:space="preserve">Months 7–20</w:t>
      </w:r>
    </w:p>
    <w:p>
      <w:pPr>
        <w:pStyle w:val="BodyText"/>
      </w:pPr>
      <w:r>
        <w:t xml:space="preserve">Cohesive vulnerability map; stakeholder engagement reports from 5 Brisbane precincts</w:t>
      </w:r>
    </w:p>
    <w:p>
      <w:pPr>
        <w:pStyle w:val="BodyText"/>
      </w:pPr>
      <w:r>
        <w:t xml:space="preserve">Framework Development &amp; Testing</w:t>
      </w:r>
    </w:p>
    <w:p>
      <w:pPr>
        <w:pStyle w:val="BodyText"/>
      </w:pPr>
      <w:r>
        <w:t xml:space="preserve">Months 21–36</w:t>
      </w:r>
    </w:p>
    <w:p>
      <w:pPr>
        <w:pStyle w:val="BodyText"/>
      </w:pPr>
      <w:r>
        <w:t xml:space="preserve">Working prototype model validated with Brisbane City Council staff and community groups</w:t>
      </w:r>
    </w:p>
    <w:p>
      <w:pPr>
        <w:pStyle w:val="BodyText"/>
      </w:pPr>
      <w:r>
        <w:t xml:space="preserve">Dissertation Writing &amp; Policy Briefs</w:t>
      </w:r>
    </w:p>
    <w:p>
      <w:pPr>
        <w:pStyle w:val="BodyText"/>
      </w:pPr>
      <w:r>
        <w:rPr>
          <w:bCs/>
          <w:b/>
        </w:rPr>
        <w:t xml:space="preserve">Months 37–48</w:t>
      </w:r>
    </w:p>
    <w:p>
      <w:pPr>
        <w:pStyle w:val="BodyText"/>
      </w:pPr>
      <w:r>
        <w:t xml:space="preserve">Final Thesis; Brisbane Climate Action Toolkit (open-source)</w:t>
      </w:r>
    </w:p>
    <w:bookmarkEnd w:id="26"/>
    <w:bookmarkStart w:id="27" w:name="viii.-conclusion"/>
    <w:p>
      <w:pPr>
        <w:pStyle w:val="Heading3"/>
      </w:pPr>
      <w:r>
        <w:t xml:space="preserve">VIII. Conclusion</w:t>
      </w:r>
    </w:p>
    <w:p>
      <w:pPr>
        <w:pStyle w:val="FirstParagraph"/>
      </w:pPr>
      <w:r>
        <w:t xml:space="preserve">Mason’s Thesis Proposal represents a timely, locally grounded response to Australia Brisbane's climate emergency. By placing community agency at the heart of urban resilience planning—not as an afterthought but as the core design principle—this research transcends conventional academic inquiry to become a catalyst for equitable climate action. In a city where 63% of residents reported heat-related health impacts (Brisbane Health Department, 2022), Mason’s work directly addresses the urgent need for solutions that protect Brisbane’s most vulnerable while future-proofing Australia’s third-largest metropolis. This Thesis Proposal is not merely an academic exercise; it is a commitment to building a Brisbane where every community thrives within a climate-resilient urban ecosystem. As Mason states in his research vision: "Sustainability in Australia Brisbane must be measured by who benefits, not just what is built." The success of this proposal will set a benchmark for global cities grappling with similar challenges, proving that context-driven, inclusive innovation is the cornerstone of lasting urban resilience.</w:t>
      </w:r>
    </w:p>
    <w:bookmarkEnd w:id="27"/>
    <w:bookmarkStart w:id="28" w:name="references-selected"/>
    <w:p>
      <w:pPr>
        <w:pStyle w:val="Heading3"/>
      </w:pPr>
      <w:r>
        <w:t xml:space="preserve">References (Selected)</w:t>
      </w:r>
    </w:p>
    <w:p>
      <w:pPr>
        <w:numPr>
          <w:ilvl w:val="0"/>
          <w:numId w:val="1004"/>
        </w:numPr>
        <w:pStyle w:val="Compact"/>
      </w:pPr>
      <w:r>
        <w:t xml:space="preserve">Brisbane City Council. (2023). *Climate Risk Assessment 2023: Brisbane’s Vulnerability Hotspots*. Brisbane: Council Publications.</w:t>
      </w:r>
    </w:p>
    <w:p>
      <w:pPr>
        <w:numPr>
          <w:ilvl w:val="0"/>
          <w:numId w:val="1004"/>
        </w:numPr>
        <w:pStyle w:val="Compact"/>
      </w:pPr>
      <w:r>
        <w:t xml:space="preserve">Dobbie, J. (2019). "Green Space Equity in Australian Cities." *Urban Studies*, 56(8), 1579–1594.</w:t>
      </w:r>
    </w:p>
    <w:p>
      <w:pPr>
        <w:numPr>
          <w:ilvl w:val="0"/>
          <w:numId w:val="1004"/>
        </w:numPr>
        <w:pStyle w:val="Compact"/>
      </w:pPr>
      <w:r>
        <w:t xml:space="preserve">IPCC. (2022). *Climate Change 2022: Impacts, Adaptation and Vulnerability*. Cambridge University Press.</w:t>
      </w:r>
    </w:p>
    <w:p>
      <w:pPr>
        <w:numPr>
          <w:ilvl w:val="0"/>
          <w:numId w:val="1004"/>
        </w:numPr>
        <w:pStyle w:val="Compact"/>
      </w:pPr>
      <w:r>
        <w:t xml:space="preserve">Wong, N., et al. (2021). "Green Infrastructure for Urban Climate Resilience." *Journal of Environmental Management*, 308, 114556.</w:t>
      </w:r>
    </w:p>
    <w:p>
      <w:pPr>
        <w:pStyle w:val="FirstParagraph"/>
      </w:pPr>
      <w:r>
        <w:rPr>
          <w:iCs/>
          <w:i/>
        </w:rPr>
        <w:t xml:space="preserve">Word Count: 876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Resilience in Australia Brisbane</dc:title>
  <dc:creator/>
  <dc:language>en</dc:language>
  <cp:keywords/>
  <dcterms:created xsi:type="dcterms:W3CDTF">2025-12-11T10:47:04Z</dcterms:created>
  <dcterms:modified xsi:type="dcterms:W3CDTF">2025-12-11T10:47:04Z</dcterms:modified>
</cp:coreProperties>
</file>

<file path=docProps/custom.xml><?xml version="1.0" encoding="utf-8"?>
<Properties xmlns="http://schemas.openxmlformats.org/officeDocument/2006/custom-properties" xmlns:vt="http://schemas.openxmlformats.org/officeDocument/2006/docPropsVTypes"/>
</file>