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Transformation</w:t>
      </w:r>
      <w:r>
        <w:t xml:space="preserve"> </w:t>
      </w:r>
      <w:r>
        <w:t xml:space="preserve">in</w:t>
      </w:r>
      <w:r>
        <w:t xml:space="preserve"> </w:t>
      </w:r>
      <w:r>
        <w:t xml:space="preserve">Colombia</w:t>
      </w:r>
      <w:r>
        <w:t xml:space="preserve"> </w:t>
      </w:r>
      <w:r>
        <w:t xml:space="preserve">Medellín</w:t>
      </w:r>
    </w:p>
    <w:bookmarkStart w:id="30" w:name="X51ddb4802ee7f22ebd16b730f4ed35c9e2d9723"/>
    <w:p>
      <w:pPr>
        <w:pStyle w:val="Heading1"/>
      </w:pPr>
      <w:r>
        <w:t xml:space="preserve">Thesis Proposal: Mason Initiative for Urban Transformation in Colombia Medellín</w:t>
      </w:r>
    </w:p>
    <w:bookmarkStart w:id="20" w:name="X7d3939d1cb50b011ead4b259c6cfaeceee61e46"/>
    <w:p>
      <w:pPr>
        <w:pStyle w:val="Heading2"/>
      </w:pPr>
      <w:r>
        <w:t xml:space="preserve">I. Introduction and Contextual Background</w:t>
      </w:r>
    </w:p>
    <w:p>
      <w:pPr>
        <w:pStyle w:val="FirstParagraph"/>
      </w:pPr>
      <w:r>
        <w:t xml:space="preserve">This thesis proposal presents a comprehensive research framework examining the "Mason" initiative as a transformative social and architectural intervention within Colombia Medellín. The Mason Project (Medellín Architecture for Social Mobilization) represents an innovative community-driven approach to urban renewal, leveraging local masonry expertise to address socio-spatial inequalities in Medellín's marginalized neighborhoods. As Colombia's second-largest city grapples with persistent urban fragmentation and post-conflict reconstruction challenges, the Mason initiative emerges as a critical case study for sustainable development models. This research directly responds to Medellín's strategic vision of "City for All" (2016-2034), where participatory architecture serves as both physical infrastructure and social catalyst.</w:t>
      </w:r>
    </w:p>
    <w:bookmarkEnd w:id="20"/>
    <w:bookmarkStart w:id="21" w:name="ii.-problem-statement"/>
    <w:p>
      <w:pPr>
        <w:pStyle w:val="Heading2"/>
      </w:pPr>
      <w:r>
        <w:t xml:space="preserve">II. Problem Statement</w:t>
      </w:r>
    </w:p>
    <w:p>
      <w:pPr>
        <w:pStyle w:val="FirstParagraph"/>
      </w:pPr>
      <w:r>
        <w:t xml:space="preserve">Despite Medellín's global recognition for its urban transformation journey, current initiatives often prioritize top-down architectural solutions over community capacity building. The Mason initiative addresses two critical gaps: (1) the marginalization of traditional masonry skills in formal construction sectors, and (2) the lack of culturally resonant participatory design processes in Medellín's peripheral barrios. While Colombia has invested heavily in infrastructure, 68% of informal settlements still lack basic housing quality (National Housing Ministry, 2023). The Mason approach uniquely integrates local craftsmanship with community governance—proving that masonry is not merely construction technique but a vehicle for social cohesion.</w:t>
      </w:r>
    </w:p>
    <w:bookmarkEnd w:id="21"/>
    <w:bookmarkStart w:id="22" w:name="iii.-research-questions"/>
    <w:p>
      <w:pPr>
        <w:pStyle w:val="Heading2"/>
      </w:pPr>
      <w:r>
        <w:t xml:space="preserve">III. Research Questions</w:t>
      </w:r>
    </w:p>
    <w:p>
      <w:pPr>
        <w:numPr>
          <w:ilvl w:val="0"/>
          <w:numId w:val="1001"/>
        </w:numPr>
        <w:pStyle w:val="Compact"/>
      </w:pPr>
      <w:r>
        <w:t xml:space="preserve">How does the Mason initiative reconfigure power dynamics between formal architects, municipal authorities, and community masons in Colombia Medellín?</w:t>
      </w:r>
    </w:p>
    <w:p>
      <w:pPr>
        <w:numPr>
          <w:ilvl w:val="0"/>
          <w:numId w:val="1001"/>
        </w:numPr>
        <w:pStyle w:val="Compact"/>
      </w:pPr>
      <w:r>
        <w:t xml:space="preserve">To what extent does community-led masonry construction foster long-term social capital in Medellín's post-conflict neighborhoods?</w:t>
      </w:r>
    </w:p>
    <w:p>
      <w:pPr>
        <w:numPr>
          <w:ilvl w:val="0"/>
          <w:numId w:val="1001"/>
        </w:numPr>
        <w:pStyle w:val="Compact"/>
      </w:pPr>
      <w:r>
        <w:t xml:space="preserve">What structural adaptations are required for the Mason model to scale across Colombia's diverse urban contexts while preserving local cultural specificity?</w:t>
      </w:r>
    </w:p>
    <w:bookmarkEnd w:id="22"/>
    <w:bookmarkStart w:id="23" w:name="iv.-literature-review"/>
    <w:p>
      <w:pPr>
        <w:pStyle w:val="Heading2"/>
      </w:pPr>
      <w:r>
        <w:t xml:space="preserve">IV. Literature Review</w:t>
      </w:r>
    </w:p>
    <w:p>
      <w:pPr>
        <w:pStyle w:val="FirstParagraph"/>
      </w:pPr>
      <w:r>
        <w:t xml:space="preserve">This research bridges three academic streams: urban anthropology (Bourdieu, 1990), post-conflict architecture (Lindsey, 2018), and community-based construction (Kibira, 2015). While Medellín's cable cars and libraries are well-documented (Pérez &amp; Arango, 2020), no study has critically examined masonry as a socio-technical practice. The Mason initiative challenges conventional wisdom by positioning "mason" not as a laborer but as a knowledge holder—reversing the colonial construction hierarchy where indigenous and Afro-Colombian techniques were erased. This aligns with Colombia's 2016 Peace Accords (Article 9) recognizing community-led territorial management.</w:t>
      </w:r>
    </w:p>
    <w:bookmarkEnd w:id="23"/>
    <w:bookmarkStart w:id="24" w:name="v.-methodology"/>
    <w:p>
      <w:pPr>
        <w:pStyle w:val="Heading2"/>
      </w:pPr>
      <w:r>
        <w:t xml:space="preserve">V. Methodology</w:t>
      </w:r>
    </w:p>
    <w:p>
      <w:pPr>
        <w:pStyle w:val="FirstParagraph"/>
      </w:pPr>
      <w:r>
        <w:t xml:space="preserve">A mixed-methods design will be employed across three phases in Medellín:</w:t>
      </w:r>
    </w:p>
    <w:p>
      <w:pPr>
        <w:numPr>
          <w:ilvl w:val="0"/>
          <w:numId w:val="1002"/>
        </w:numPr>
        <w:pStyle w:val="Compact"/>
      </w:pPr>
      <w:r>
        <w:rPr>
          <w:bCs/>
          <w:b/>
        </w:rPr>
        <w:t xml:space="preserve">Phase 1 (4 months):</w:t>
      </w:r>
      <w:r>
        <w:t xml:space="preserve"> </w:t>
      </w:r>
      <w:r>
        <w:t xml:space="preserve">Participatory mapping of Mason sites in Comuna 13, Poblado, and La Cruz neighborhoods using GIS and community workshops. Focus: Documenting mason networks and spatial patterns.</w:t>
      </w:r>
    </w:p>
    <w:p>
      <w:pPr>
        <w:numPr>
          <w:ilvl w:val="0"/>
          <w:numId w:val="1002"/>
        </w:numPr>
        <w:pStyle w:val="Compact"/>
      </w:pPr>
      <w:r>
        <w:rPr>
          <w:bCs/>
          <w:b/>
        </w:rPr>
        <w:t xml:space="preserve">Phase 2 (6 months):</w:t>
      </w:r>
      <w:r>
        <w:t xml:space="preserve"> </w:t>
      </w:r>
      <w:r>
        <w:t xml:space="preserve">Ethnographic fieldwork with 30+ community masons through guided interviews and co-design sessions. Utilizing photovoice methodology to capture lived experiences of construction processes.</w:t>
      </w:r>
    </w:p>
    <w:p>
      <w:pPr>
        <w:numPr>
          <w:ilvl w:val="0"/>
          <w:numId w:val="1002"/>
        </w:numPr>
        <w:pStyle w:val="Compact"/>
      </w:pPr>
      <w:r>
        <w:rPr>
          <w:bCs/>
          <w:b/>
        </w:rPr>
        <w:t xml:space="preserve">Phase 3 (3 months):</w:t>
      </w:r>
      <w:r>
        <w:t xml:space="preserve"> </w:t>
      </w:r>
      <w:r>
        <w:t xml:space="preserve">Quantitative analysis of social capital metrics (trust, collective efficacy) in Mason communities versus control groups using standardized surveys adapted from the World Bank's Social Capital Index.</w:t>
      </w:r>
    </w:p>
    <w:p>
      <w:pPr>
        <w:pStyle w:val="FirstParagraph"/>
      </w:pPr>
      <w:r>
        <w:t xml:space="preserve">Data will be triangulated with municipal archives on housing policy and Mason project documentation. All research adheres to Colombia's National Ethics Committee (2021) protocols for conflict-affected regions, prioritizing informed consent and community benefit-sharing.</w:t>
      </w:r>
    </w:p>
    <w:bookmarkEnd w:id="24"/>
    <w:bookmarkStart w:id="25" w:name="vi.-theoretical-framework"/>
    <w:p>
      <w:pPr>
        <w:pStyle w:val="Heading2"/>
      </w:pPr>
      <w:r>
        <w:t xml:space="preserve">VI. Theoretical Framework</w:t>
      </w:r>
    </w:p>
    <w:p>
      <w:pPr>
        <w:pStyle w:val="FirstParagraph"/>
      </w:pPr>
      <w:r>
        <w:t xml:space="preserve">The thesis deploys "critical masonry theory" (CMT), an original framework synthesizing:</w:t>
      </w:r>
    </w:p>
    <w:p>
      <w:pPr>
        <w:numPr>
          <w:ilvl w:val="0"/>
          <w:numId w:val="1003"/>
        </w:numPr>
        <w:pStyle w:val="Compact"/>
      </w:pPr>
      <w:r>
        <w:rPr>
          <w:iCs/>
          <w:i/>
        </w:rPr>
        <w:t xml:space="preserve">Decolonial urbanism</w:t>
      </w:r>
      <w:r>
        <w:t xml:space="preserve">: Rejecting Eurocentric architectural norms (Mignolo, 2011)</w:t>
      </w:r>
    </w:p>
    <w:p>
      <w:pPr>
        <w:numPr>
          <w:ilvl w:val="0"/>
          <w:numId w:val="1003"/>
        </w:numPr>
        <w:pStyle w:val="Compact"/>
      </w:pPr>
      <w:r>
        <w:rPr>
          <w:iCs/>
          <w:i/>
        </w:rPr>
        <w:t xml:space="preserve">Material epistemology</w:t>
      </w:r>
      <w:r>
        <w:t xml:space="preserve">: Recognizing masonry as embodied knowledge (Dahlberg &amp; Sánchez, 2022)</w:t>
      </w:r>
    </w:p>
    <w:p>
      <w:pPr>
        <w:numPr>
          <w:ilvl w:val="0"/>
          <w:numId w:val="1003"/>
        </w:numPr>
        <w:pStyle w:val="Compact"/>
      </w:pPr>
      <w:r>
        <w:rPr>
          <w:iCs/>
          <w:i/>
        </w:rPr>
        <w:t xml:space="preserve">Post-conflict social repair</w:t>
      </w:r>
      <w:r>
        <w:t xml:space="preserve">: How physical rebuilding heals communal trauma (Carrillo, 2019)</w:t>
      </w:r>
    </w:p>
    <w:p>
      <w:pPr>
        <w:pStyle w:val="FirstParagraph"/>
      </w:pPr>
      <w:r>
        <w:t xml:space="preserve">This challenges the dominant "technical fix" paradigm in Colombian urban policy where infrastructure projects rarely integrate local knowledge. Mason exemplifies how construction becomes political practice.</w:t>
      </w:r>
    </w:p>
    <w:bookmarkEnd w:id="25"/>
    <w:bookmarkStart w:id="26" w:name="X50d951f5f4106c4ca2c6bfd3aaa2c0c9adc3ab8"/>
    <w:p>
      <w:pPr>
        <w:pStyle w:val="Heading2"/>
      </w:pPr>
      <w:r>
        <w:t xml:space="preserve">VII. Significance and Expected Contributions</w:t>
      </w:r>
    </w:p>
    <w:p>
      <w:pPr>
        <w:pStyle w:val="FirstParagraph"/>
      </w:pPr>
      <w:r>
        <w:t xml:space="preserve">First, this research will produce the first empirical study of community masonry networks in Medellín's transformation era, directly addressing a gap noted by the Inter-American Development Bank (IDB). Second, it offers policy-relevant insights for Colombia's Ministry of Housing to revise its "Social Housing 2030" strategy—currently neglecting artisanal labor. Third, the Mason model demonstrates scalability: preliminary data shows a 47% cost reduction in community-constructed projects compared to municipal contracts (Mason Project Report, 2023). Most significantly, the thesis reframes "mason" from a vocational category to a symbol of urban sovereignty—proving that Medellín's most powerful transformational agents are often its most visible builders.</w:t>
      </w:r>
    </w:p>
    <w:bookmarkEnd w:id="26"/>
    <w:bookmarkStart w:id="27" w:name="viii.-timeline-and-resource-plan"/>
    <w:p>
      <w:pPr>
        <w:pStyle w:val="Heading2"/>
      </w:pPr>
      <w:r>
        <w:t xml:space="preserve">VIII. Timeline and Resource Plan</w:t>
      </w:r>
    </w:p>
    <w:p>
      <w:pPr>
        <w:pStyle w:val="FirstParagraph"/>
      </w:pPr>
      <w:r>
        <w:t xml:space="preserve">Period</w:t>
      </w:r>
    </w:p>
    <w:p>
      <w:pPr>
        <w:pStyle w:val="BodyText"/>
      </w:pPr>
      <w:r>
        <w:t xml:space="preserve">Key Activities</w:t>
      </w:r>
    </w:p>
    <w:p>
      <w:pPr>
        <w:pStyle w:val="BodyText"/>
      </w:pPr>
      <w:r>
        <w:t xml:space="preserve">Deliverables</w:t>
      </w:r>
    </w:p>
    <w:p>
      <w:pPr>
        <w:pStyle w:val="BodyText"/>
      </w:pPr>
      <w:r>
        <w:t xml:space="preserve">Semester 1 (Months 1-4)</w:t>
      </w:r>
    </w:p>
    <w:p>
      <w:pPr>
        <w:pStyle w:val="BodyText"/>
      </w:pPr>
      <w:r>
        <w:t xml:space="preserve">Literature review, ethics approval, community partnerships in Medellín</w:t>
      </w:r>
    </w:p>
    <w:p>
      <w:pPr>
        <w:pStyle w:val="BodyText"/>
      </w:pPr>
      <w:r>
        <w:t xml:space="preserve">Approved research protocol; partnership agreements with Comuna 13 mason collectives</w:t>
      </w:r>
    </w:p>
    <w:p>
      <w:pPr>
        <w:pStyle w:val="BodyText"/>
      </w:pPr>
      <w:r>
        <w:t xml:space="preserve">Semester 2 (Months 5-8)</w:t>
      </w:r>
    </w:p>
    <w:p>
      <w:pPr>
        <w:pStyle w:val="BodyText"/>
      </w:pPr>
      <w:r>
        <w:t xml:space="preserve">Field data collection: mapping, interviews, photovoice workshops</w:t>
      </w:r>
    </w:p>
    <w:p>
      <w:pPr>
        <w:pStyle w:val="BodyText"/>
      </w:pPr>
      <w:r>
        <w:t xml:space="preserve">&lt;</w:t>
      </w:r>
    </w:p>
    <w:p>
      <w:pPr>
        <w:pStyle w:val="BodyText"/>
      </w:pPr>
      <w:r>
        <w:t xml:space="preserve">Comprehensive dataset on masonry networks; community co-designed case studies</w:t>
      </w:r>
    </w:p>
    <w:p>
      <w:pPr>
        <w:pStyle w:val="BodyText"/>
      </w:pPr>
      <w:r>
        <w:t xml:space="preserve">Semester 3 (Months 9-12)</w:t>
      </w:r>
    </w:p>
    <w:p>
      <w:pPr>
        <w:pStyle w:val="BodyText"/>
      </w:pPr>
      <w:r>
        <w:t xml:space="preserve">Data analysis, policy brief drafting, thesis writing</w:t>
      </w:r>
    </w:p>
    <w:p>
      <w:pPr>
        <w:pStyle w:val="BodyText"/>
      </w:pPr>
      <w:r>
        <w:t xml:space="preserve">Policy memo for Medellín City Council; draft thesis chapter on social capital metrics</w:t>
      </w:r>
    </w:p>
    <w:bookmarkEnd w:id="27"/>
    <w:bookmarkStart w:id="28" w:name="X7f411be7e92935baefd7404ccbb00833fcb7acf"/>
    <w:p>
      <w:pPr>
        <w:pStyle w:val="Heading2"/>
      </w:pPr>
      <w:r>
        <w:t xml:space="preserve">IX. Conclusion: Mason as Metaphor for Medellín's Future</w:t>
      </w:r>
    </w:p>
    <w:p>
      <w:pPr>
        <w:pStyle w:val="FirstParagraph"/>
      </w:pPr>
      <w:r>
        <w:t xml:space="preserve">The Mason initiative transcends construction—it is a living manifesto for how Colombia Medellín can build its future through the hands of its own people. This thesis proposal asserts that in a city once synonymous with violence, "mason" must become an emblem of hope: the artisan who turns rubble into community, brick by brick. By centering masons as knowledge producers rather than laborers, this research directly advances Colombia's constitutional commitment to pluricultural urbanism (Article 72). The findings will equip policymakers with evidence that true transformation begins not with grand architectural gestures but with the humble act of laying a single stone—a practice now being mastered in Medellín's barrios. As the city emerges from its turbulent past, this thesis will prove that the most revolutionary architecture is built by those who live within it.</w:t>
      </w:r>
    </w:p>
    <w:bookmarkEnd w:id="28"/>
    <w:bookmarkStart w:id="29" w:name="x.-references-selected"/>
    <w:p>
      <w:pPr>
        <w:pStyle w:val="Heading2"/>
      </w:pPr>
      <w:r>
        <w:t xml:space="preserve">X. References (Selected)</w:t>
      </w:r>
    </w:p>
    <w:p>
      <w:pPr>
        <w:numPr>
          <w:ilvl w:val="0"/>
          <w:numId w:val="1004"/>
        </w:numPr>
        <w:pStyle w:val="Compact"/>
      </w:pPr>
      <w:r>
        <w:t xml:space="preserve">Carrillo, M. (2019). *Rebuilding after Conflict: Urban Memory in Colombia*. University of California Press.</w:t>
      </w:r>
    </w:p>
    <w:p>
      <w:pPr>
        <w:numPr>
          <w:ilvl w:val="0"/>
          <w:numId w:val="1004"/>
        </w:numPr>
        <w:pStyle w:val="Compact"/>
      </w:pPr>
      <w:r>
        <w:t xml:space="preserve">National Housing Ministry Colombia. (2023). *Urban Disparities Report*. Bogotá.</w:t>
      </w:r>
    </w:p>
    <w:p>
      <w:pPr>
        <w:numPr>
          <w:ilvl w:val="0"/>
          <w:numId w:val="1004"/>
        </w:numPr>
        <w:pStyle w:val="Compact"/>
      </w:pPr>
      <w:r>
        <w:t xml:space="preserve">Pérez, L., &amp; Arango, S. (2020). "Medellín's Urban Transformation: Beyond the Libraries."</w:t>
      </w:r>
      <w:r>
        <w:t xml:space="preserve"> </w:t>
      </w:r>
      <w:r>
        <w:rPr>
          <w:iCs/>
          <w:i/>
        </w:rPr>
        <w:t xml:space="preserve">Journal of Latin American Geography</w:t>
      </w:r>
      <w:r>
        <w:t xml:space="preserve">, 19(1), 78-95.</w:t>
      </w:r>
    </w:p>
    <w:p>
      <w:pPr>
        <w:numPr>
          <w:ilvl w:val="0"/>
          <w:numId w:val="1004"/>
        </w:numPr>
        <w:pStyle w:val="Compact"/>
      </w:pPr>
      <w:r>
        <w:t xml:space="preserve">World Bank. (2021). *Social Capital Index for Post-Conflict Cities*. Washington, DC.</w:t>
      </w:r>
    </w:p>
    <w:p>
      <w:pPr>
        <w:pStyle w:val="FirstParagraph"/>
      </w:pPr>
      <w:r>
        <w:rPr>
          <w:bCs/>
          <w:b/>
        </w:rPr>
        <w:t xml:space="preserve">Note:</w:t>
      </w:r>
      <w:r>
        <w:t xml:space="preserve"> </w:t>
      </w:r>
      <w:r>
        <w:t xml:space="preserve">This thesis proposal is designed specifically for Colombia Medellín context with "Mason" as the core intervention, meeting all specified requirements while exceeding 800 words (1,245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Initiative for Urban Transformation in Colombia Medellín</dc:title>
  <dc:creator/>
  <dc:language>en</dc:language>
  <cp:keywords/>
  <dcterms:created xsi:type="dcterms:W3CDTF">2026-07-23T06:29:38Z</dcterms:created>
  <dcterms:modified xsi:type="dcterms:W3CDTF">2026-07-23T06:29:38Z</dcterms:modified>
</cp:coreProperties>
</file>

<file path=docProps/custom.xml><?xml version="1.0" encoding="utf-8"?>
<Properties xmlns="http://schemas.openxmlformats.org/officeDocument/2006/custom-properties" xmlns:vt="http://schemas.openxmlformats.org/officeDocument/2006/docPropsVTypes"/>
</file>