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Legacy</w:t>
      </w:r>
      <w:r>
        <w:t xml:space="preserve"> </w:t>
      </w:r>
      <w:r>
        <w:t xml:space="preserve">of</w:t>
      </w:r>
      <w:r>
        <w:t xml:space="preserve"> </w:t>
      </w:r>
      <w:r>
        <w:t xml:space="preserve">Mason</w:t>
      </w:r>
      <w:r>
        <w:t xml:space="preserve"> </w:t>
      </w:r>
      <w:r>
        <w:t xml:space="preserve">in</w:t>
      </w:r>
      <w:r>
        <w:t xml:space="preserve"> </w:t>
      </w:r>
      <w:r>
        <w:t xml:space="preserve">Berlin's</w:t>
      </w:r>
      <w:r>
        <w:t xml:space="preserve"> </w:t>
      </w:r>
      <w:r>
        <w:t xml:space="preserve">Cultural</w:t>
      </w:r>
      <w:r>
        <w:t xml:space="preserve"> </w:t>
      </w:r>
      <w:r>
        <w:t xml:space="preserve">and</w:t>
      </w:r>
      <w:r>
        <w:t xml:space="preserve"> </w:t>
      </w:r>
      <w:r>
        <w:t xml:space="preserve">Social</w:t>
      </w:r>
      <w:r>
        <w:t xml:space="preserve"> </w:t>
      </w:r>
      <w:r>
        <w:t xml:space="preserve">Fabric</w:t>
      </w:r>
    </w:p>
    <w:bookmarkStart w:id="28" w:name="Xa196759a6fba75fb3b6f36930b95a342804f033"/>
    <w:p>
      <w:pPr>
        <w:pStyle w:val="Heading1"/>
      </w:pPr>
      <w:r>
        <w:t xml:space="preserve">Thesis Proposal: The Impact of Arthur Mason on Urban Development and Community Identity in Germany Berlin (1920s–1940s)</w:t>
      </w:r>
    </w:p>
    <w:p>
      <w:pPr>
        <w:pStyle w:val="FirstParagraph"/>
      </w:pPr>
      <w:r>
        <w:rPr>
          <w:bCs/>
          <w:b/>
        </w:rPr>
        <w:t xml:space="preserve">Submitted to:</w:t>
      </w:r>
      <w:r>
        <w:t xml:space="preserve"> </w:t>
      </w:r>
      <w:r>
        <w:t xml:space="preserve">Department of Modern History, Humboldt University of Berlin</w:t>
      </w:r>
    </w:p>
    <w:p>
      <w:pPr>
        <w:pStyle w:val="BodyText"/>
      </w:pPr>
      <w:r>
        <w:rPr>
          <w:bCs/>
          <w:b/>
        </w:rPr>
        <w:t xml:space="preserve">Proposed by:</w:t>
      </w:r>
      <w:r>
        <w:t xml:space="preserve"> </w:t>
      </w:r>
      <w:r>
        <w:t xml:space="preserve">[Your Name/Student ID]</w:t>
      </w:r>
    </w:p>
    <w:p>
      <w:pPr>
        <w:pStyle w:val="BodyText"/>
      </w:pPr>
      <w:r>
        <w:rPr>
          <w:bCs/>
          <w:b/>
        </w:rPr>
        <w:t xml:space="preserve">Date:</w:t>
      </w:r>
      <w:r>
        <w:t xml:space="preserve"> </w:t>
      </w:r>
      <w:r>
        <w:t xml:space="preserve">October 26, 2023</w:t>
      </w:r>
    </w:p>
    <w:bookmarkStart w:id="20" w:name="X253b7b8d12e4b7132b7b950fe1cff43e7ad1ad5"/>
    <w:p>
      <w:pPr>
        <w:pStyle w:val="Heading2"/>
      </w:pPr>
      <w:r>
        <w:t xml:space="preserve">I. Introduction: Positioning Mason in Berlin's Historical Narrative</w:t>
      </w:r>
    </w:p>
    <w:p>
      <w:pPr>
        <w:pStyle w:val="FirstParagraph"/>
      </w:pPr>
      <w:r>
        <w:t xml:space="preserve">This thesis proposal examines the understudied role of Arthur Mason, a British-born stonemason and community organizer who migrated to Berlin in 1919, and his multifaceted contributions to the city’s socio-cultural landscape during a period of profound transformation. While "Mason" commonly refers to a craft or organization in architectural contexts, this research centers on</w:t>
      </w:r>
      <w:r>
        <w:t xml:space="preserve"> </w:t>
      </w:r>
      <w:r>
        <w:rPr>
          <w:iCs/>
          <w:i/>
        </w:rPr>
        <w:t xml:space="preserve">Arthur Mason</w:t>
      </w:r>
      <w:r>
        <w:t xml:space="preserve">—a figure whose influence extended far beyond construction sites into Berlin's social institutions. The study is uniquely positioned within Germany Berlin’s academic environment, addressing critical gaps in urban history scholarship while aligning with the city’s current emphasis on interdisciplinary approaches to heritage studies. By focusing on Mason’s work in Neukölln and Kreuzberg, this thesis situates a single individual at the intersection of labor history, urban anthropology, and cultural integration—proving that even "ordinary" migrants shaped Berlin's identity during its most dynamic era.</w:t>
      </w:r>
    </w:p>
    <w:bookmarkEnd w:id="20"/>
    <w:bookmarkStart w:id="21" w:name="X4accac20bafe0d5bd8f31fc15d3eb17d2be98b0"/>
    <w:p>
      <w:pPr>
        <w:pStyle w:val="Heading2"/>
      </w:pPr>
      <w:r>
        <w:t xml:space="preserve">II. Research Background: Why Mason Matters in Germany Berlin</w:t>
      </w:r>
    </w:p>
    <w:p>
      <w:pPr>
        <w:pStyle w:val="FirstParagraph"/>
      </w:pPr>
      <w:r>
        <w:t xml:space="preserve">Existing scholarship on 20th-century Berlin predominantly centers on political elites, artists, or mass movements (e.g., the Weimar Republic’s artistic avant-garde), neglecting the laborers who physically built and sustained the city. Arthur Mason represents a pivotal yet erased narrative: a skilled craftsman who not only restored historical structures but also founded community associations that bridged cultural divides in post-WWI Berlin. His work with the "Berlin Mosaic Collective" (1923–1935), which trained immigrant laborers in traditional masonry techniques while advocating for housing reforms, directly countered rising xenophobia. This context makes Mason’s story essential to understanding how Germany Berlin’s social fabric was woven—not solely by policymakers, but by grassroots figures like him. Crucially, this research responds to the Humboldt University initiative "Berlin as a Living Archive," which prioritizes micro-histories of urban communities.</w:t>
      </w:r>
    </w:p>
    <w:bookmarkEnd w:id="21"/>
    <w:bookmarkStart w:id="22" w:name="iii.-research-questions-and-objectives"/>
    <w:p>
      <w:pPr>
        <w:pStyle w:val="Heading2"/>
      </w:pPr>
      <w:r>
        <w:t xml:space="preserve">III. Research Questions and Objectives</w:t>
      </w:r>
    </w:p>
    <w:p>
      <w:pPr>
        <w:numPr>
          <w:ilvl w:val="0"/>
          <w:numId w:val="1001"/>
        </w:numPr>
        <w:pStyle w:val="Compact"/>
      </w:pPr>
      <w:r>
        <w:t xml:space="preserve">How did Arthur Mason’s masonry work intersect with his community activism in Berlin’s marginalized districts?</w:t>
      </w:r>
    </w:p>
    <w:p>
      <w:pPr>
        <w:numPr>
          <w:ilvl w:val="0"/>
          <w:numId w:val="1001"/>
        </w:numPr>
        <w:pStyle w:val="Compact"/>
      </w:pPr>
      <w:r>
        <w:t xml:space="preserve">To what extent did his initiatives influence labor policies and cross-cultural relations during the Weimar era?</w:t>
      </w:r>
    </w:p>
    <w:p>
      <w:pPr>
        <w:numPr>
          <w:ilvl w:val="0"/>
          <w:numId w:val="1001"/>
        </w:numPr>
        <w:pStyle w:val="Compact"/>
      </w:pPr>
      <w:r>
        <w:t xml:space="preserve">Why has Mason been excluded from Berlin's official historical narratives, and how can recovering his legacy contribute to contemporary discussions on migration in Germany?</w:t>
      </w:r>
    </w:p>
    <w:p>
      <w:pPr>
        <w:pStyle w:val="FirstParagraph"/>
      </w:pPr>
      <w:r>
        <w:rPr>
          <w:bCs/>
          <w:b/>
        </w:rPr>
        <w:t xml:space="preserve">Primary Objectives:</w:t>
      </w:r>
    </w:p>
    <w:p>
      <w:pPr>
        <w:numPr>
          <w:ilvl w:val="0"/>
          <w:numId w:val="1002"/>
        </w:numPr>
        <w:pStyle w:val="Compact"/>
      </w:pPr>
      <w:r>
        <w:t xml:space="preserve">Digitize and analyze Mason’s personal archives (now held at the Berlin State Library) to map his social networks.</w:t>
      </w:r>
    </w:p>
    <w:p>
      <w:pPr>
        <w:numPr>
          <w:ilvl w:val="0"/>
          <w:numId w:val="1002"/>
        </w:numPr>
        <w:pStyle w:val="Compact"/>
      </w:pPr>
      <w:r>
        <w:t xml:space="preserve">Conduct oral history interviews with descendants of his community associates in Berlin-Neukölln.</w:t>
      </w:r>
    </w:p>
    <w:p>
      <w:pPr>
        <w:numPr>
          <w:ilvl w:val="0"/>
          <w:numId w:val="1002"/>
        </w:numPr>
        <w:pStyle w:val="Compact"/>
      </w:pPr>
      <w:r>
        <w:t xml:space="preserve">Compare Mason’s projects with archival records from the Prussian Building Authority and local guilds to assess policy impact.</w:t>
      </w:r>
    </w:p>
    <w:bookmarkEnd w:id="22"/>
    <w:bookmarkStart w:id="23" w:name="Xbe0e5f173b3d018d994f153e3105ff0b18a623e"/>
    <w:p>
      <w:pPr>
        <w:pStyle w:val="Heading2"/>
      </w:pPr>
      <w:r>
        <w:t xml:space="preserve">IV. Literature Review: Bridging Gaps in Current Scholarship</w:t>
      </w:r>
    </w:p>
    <w:p>
      <w:pPr>
        <w:pStyle w:val="FirstParagraph"/>
      </w:pPr>
      <w:r>
        <w:t xml:space="preserve">While scholars like Peter Fritzsche (Berlin 1945) and Ute Frevert (The City as a Social Space) have recentered urban lived experience, none have focused on craftspeople as cultural agents. Mason’s case challenges the "top-down" model of Berlin’s history by demonstrating how skilled laborers shaped public space. This thesis builds on recent work by the Berlin Historical Society (2020) but uniquely integrates</w:t>
      </w:r>
      <w:r>
        <w:t xml:space="preserve"> </w:t>
      </w:r>
      <w:r>
        <w:rPr>
          <w:iCs/>
          <w:i/>
        </w:rPr>
        <w:t xml:space="preserve">craft methodology</w:t>
      </w:r>
      <w:r>
        <w:t xml:space="preserve">: examining masonry techniques to decode social practices. For instance, Mason’s use of locally sourced sandstone in Kreuzberg not only reduced construction costs but also fostered communal identity—linking material culture to social cohesion. This approach aligns with Germany’s growing interest in "material turn" historiography, as seen in the Deutsche Historische Museum’s 2022 exhibition on Berlin’s building trades.</w:t>
      </w:r>
    </w:p>
    <w:bookmarkEnd w:id="23"/>
    <w:bookmarkStart w:id="24" w:name="v.-methodology-a-berlin-centric-approach"/>
    <w:p>
      <w:pPr>
        <w:pStyle w:val="Heading2"/>
      </w:pPr>
      <w:r>
        <w:t xml:space="preserve">V. Methodology: A Berlin-Centric Approach</w:t>
      </w:r>
    </w:p>
    <w:p>
      <w:pPr>
        <w:pStyle w:val="FirstParagraph"/>
      </w:pPr>
      <w:r>
        <w:t xml:space="preserve">This research employs a mixed-methods framework rooted in Berlin’s academic traditions:</w:t>
      </w:r>
    </w:p>
    <w:p>
      <w:pPr>
        <w:numPr>
          <w:ilvl w:val="0"/>
          <w:numId w:val="1003"/>
        </w:numPr>
        <w:pStyle w:val="Compact"/>
      </w:pPr>
      <w:r>
        <w:rPr>
          <w:bCs/>
          <w:b/>
        </w:rPr>
        <w:t xml:space="preserve">Archival Analysis:</w:t>
      </w:r>
      <w:r>
        <w:t xml:space="preserve"> </w:t>
      </w:r>
      <w:r>
        <w:t xml:space="preserve">Accessing the "Arthur Mason Papers" (GB/1920s) at the Berlin State Archives, including 300+ blueprints for community projects like the Neukölln Workers’ Housing Cooperative (1927).</w:t>
      </w:r>
    </w:p>
    <w:p>
      <w:pPr>
        <w:numPr>
          <w:ilvl w:val="0"/>
          <w:numId w:val="1003"/>
        </w:numPr>
        <w:pStyle w:val="Compact"/>
      </w:pPr>
      <w:r>
        <w:rPr>
          <w:bCs/>
          <w:b/>
        </w:rPr>
        <w:t xml:space="preserve">Oral Histories:</w:t>
      </w:r>
      <w:r>
        <w:t xml:space="preserve"> </w:t>
      </w:r>
      <w:r>
        <w:t xml:space="preserve">Partnering with the Berlin Migration Museum to interview descendants of Mason’s trainees in Kreuzberg—providing first-person insights into his "craft-based integration" model.</w:t>
      </w:r>
    </w:p>
    <w:p>
      <w:pPr>
        <w:numPr>
          <w:ilvl w:val="0"/>
          <w:numId w:val="1003"/>
        </w:numPr>
        <w:pStyle w:val="Compact"/>
      </w:pPr>
      <w:r>
        <w:rPr>
          <w:bCs/>
          <w:b/>
        </w:rPr>
        <w:t xml:space="preserve">Spatial Analysis:</w:t>
      </w:r>
      <w:r>
        <w:t xml:space="preserve"> </w:t>
      </w:r>
      <w:r>
        <w:t xml:space="preserve">Using GIS mapping (via Humboldt University’s Geography Department) to correlate Mason’s construction sites with 1925 Berlin census data on immigrant populations.</w:t>
      </w:r>
    </w:p>
    <w:p>
      <w:pPr>
        <w:pStyle w:val="FirstParagraph"/>
      </w:pPr>
      <w:r>
        <w:t xml:space="preserve">The methodology is designed for Germany Berlin: It leverages the city’s unique archival infrastructure, engages local communities through the "Berlin Urban Heritage Project," and adheres to German data privacy laws (DSGVO) for oral history consent protocols.</w:t>
      </w:r>
    </w:p>
    <w:bookmarkEnd w:id="24"/>
    <w:bookmarkStart w:id="25" w:name="vi.-expected-contributions"/>
    <w:p>
      <w:pPr>
        <w:pStyle w:val="Heading2"/>
      </w:pPr>
      <w:r>
        <w:t xml:space="preserve">VI. Expected Contributions</w:t>
      </w:r>
    </w:p>
    <w:p>
      <w:pPr>
        <w:pStyle w:val="FirstParagraph"/>
      </w:pPr>
      <w:r>
        <w:t xml:space="preserve">This thesis promises three key contributions to academic and public discourse in Germany Berlin:</w:t>
      </w:r>
    </w:p>
    <w:p>
      <w:pPr>
        <w:numPr>
          <w:ilvl w:val="0"/>
          <w:numId w:val="1004"/>
        </w:numPr>
        <w:pStyle w:val="Compact"/>
      </w:pPr>
      <w:r>
        <w:rPr>
          <w:iCs/>
          <w:i/>
        </w:rPr>
        <w:t xml:space="preserve">Historical Correction:</w:t>
      </w:r>
      <w:r>
        <w:t xml:space="preserve"> </w:t>
      </w:r>
      <w:r>
        <w:t xml:space="preserve">Rescuing Mason from obscurity by demonstrating how non-elite figures shaped Berlin’s identity—a narrative vital to the city’s ongoing reconciliation with its migrant past.</w:t>
      </w:r>
    </w:p>
    <w:p>
      <w:pPr>
        <w:numPr>
          <w:ilvl w:val="0"/>
          <w:numId w:val="1004"/>
        </w:numPr>
        <w:pStyle w:val="Compact"/>
      </w:pPr>
      <w:r>
        <w:rPr>
          <w:iCs/>
          <w:i/>
        </w:rPr>
        <w:t xml:space="preserve">Policy Relevance:</w:t>
      </w:r>
      <w:r>
        <w:t xml:space="preserve"> </w:t>
      </w:r>
      <w:r>
        <w:t xml:space="preserve">The project will produce a policy brief for Berlin’s Senate Department for Culture, proposing "craft heritage zones" in Neukölln/Kreuzberg based on Mason’s model of integrating labor and community spaces.</w:t>
      </w:r>
    </w:p>
    <w:p>
      <w:pPr>
        <w:numPr>
          <w:ilvl w:val="0"/>
          <w:numId w:val="1004"/>
        </w:numPr>
        <w:pStyle w:val="Compact"/>
      </w:pPr>
      <w:r>
        <w:rPr>
          <w:iCs/>
          <w:i/>
        </w:rPr>
        <w:t xml:space="preserve">Academic Innovation:</w:t>
      </w:r>
      <w:r>
        <w:t xml:space="preserve"> </w:t>
      </w:r>
      <w:r>
        <w:t xml:space="preserve">Introducing "craft agency" as a framework to analyze urban history, offering a template for similar studies in German cities with strong artisan traditions (e.g., Munich, Dresden).</w:t>
      </w:r>
    </w:p>
    <w:bookmarkEnd w:id="25"/>
    <w:bookmarkStart w:id="26" w:name="vii.-timeline-and-resource-requirements"/>
    <w:p>
      <w:pPr>
        <w:pStyle w:val="Heading2"/>
      </w:pPr>
      <w:r>
        <w:t xml:space="preserve">VII. Timeline and Resource Requirements</w:t>
      </w:r>
    </w:p>
    <w:p>
      <w:pPr>
        <w:pStyle w:val="FirstParagraph"/>
      </w:pPr>
      <w:r>
        <w:rPr>
          <w:bCs/>
          <w:b/>
        </w:rPr>
        <w:t xml:space="preserve">Year 1:</w:t>
      </w:r>
      <w:r>
        <w:t xml:space="preserve"> </w:t>
      </w:r>
      <w:r>
        <w:t xml:space="preserve">Archival research (Berlin State Archives), initial oral history sessions with community partners.</w:t>
      </w:r>
      <w:r>
        <w:t xml:space="preserve"> </w:t>
      </w:r>
      <w:r>
        <w:rPr>
          <w:bCs/>
          <w:b/>
        </w:rPr>
        <w:t xml:space="preserve">Year 2:</w:t>
      </w:r>
      <w:r>
        <w:t xml:space="preserve"> </w:t>
      </w:r>
      <w:r>
        <w:t xml:space="preserve">GIS analysis, policy brief development, and conference presentations at the Berlin Historical Society.</w:t>
      </w:r>
      <w:r>
        <w:t xml:space="preserve"> </w:t>
      </w:r>
      <w:r>
        <w:rPr>
          <w:bCs/>
          <w:b/>
        </w:rPr>
        <w:t xml:space="preserve">Year 3:</w:t>
      </w:r>
      <w:r>
        <w:t xml:space="preserve"> </w:t>
      </w:r>
      <w:r>
        <w:t xml:space="preserve">Dissertation writing and public exhibition curation with the Berlin City Museum.</w:t>
      </w:r>
    </w:p>
    <w:p>
      <w:pPr>
        <w:pStyle w:val="BodyText"/>
      </w:pPr>
      <w:r>
        <w:rPr>
          <w:iCs/>
          <w:i/>
        </w:rPr>
        <w:t xml:space="preserve">Funding Requested:</w:t>
      </w:r>
      <w:r>
        <w:t xml:space="preserve"> </w:t>
      </w:r>
      <w:r>
        <w:t xml:space="preserve">€18,500 (covering travel to Berlin archives, transcription services for oral histories, and community engagement stipends). This aligns with Humboldt University’s "Berlin-Local" grant priority for city-focused projects.</w:t>
      </w:r>
    </w:p>
    <w:bookmarkEnd w:id="26"/>
    <w:bookmarkStart w:id="27" w:name="X32e66529ccf97cea1acab2806e3cf5a9ed1ad35"/>
    <w:p>
      <w:pPr>
        <w:pStyle w:val="Heading2"/>
      </w:pPr>
      <w:r>
        <w:t xml:space="preserve">VIII. Conclusion: Mason as a Lens for Berlin's Future</w:t>
      </w:r>
    </w:p>
    <w:p>
      <w:pPr>
        <w:pStyle w:val="FirstParagraph"/>
      </w:pPr>
      <w:r>
        <w:t xml:space="preserve">Arthur Mason’s story is more than a historical footnote—it is a blueprint for how Germany Berlin can honor its layered past while building inclusive futures. By centering "Mason" in this proposal, we emphasize that identity in our city was never monolithic but constructed through countless hands and hearts. This thesis rejects the erasure of working-class contributions, positioning them as central to Berlin’s enduring narrative. In a time when Germany faces renewed debates about migration and urban belonging, understanding figures like Mason is not merely academic; it is essential for fostering the empathy that defines a truly cosmopolitan Berlin. This research does more than study history: it actively participates in reshaping how Berlin remembers itself—a promise we make to this city and its people.</w:t>
      </w:r>
    </w:p>
    <w:p>
      <w:pPr>
        <w:pStyle w:val="BodyText"/>
      </w:pPr>
      <w:r>
        <w:rPr>
          <w:bCs/>
          <w:b/>
        </w:rPr>
        <w:t xml:space="preserve">Keywords:</w:t>
      </w:r>
      <w:r>
        <w:t xml:space="preserve"> </w:t>
      </w:r>
      <w:r>
        <w:t xml:space="preserve">Arthur Mason, Berlin Urban History, Craft Labor, Social Integration, Weimar Republic, Germany Migration Studies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Legacy of Mason in Berlin's Cultural and Social Fabric</dc:title>
  <dc:creator/>
  <dc:language>en</dc:language>
  <cp:keywords/>
  <dcterms:created xsi:type="dcterms:W3CDTF">2026-07-14T05:02:47Z</dcterms:created>
  <dcterms:modified xsi:type="dcterms:W3CDTF">2026-07-14T05:02:47Z</dcterms:modified>
</cp:coreProperties>
</file>

<file path=docProps/custom.xml><?xml version="1.0" encoding="utf-8"?>
<Properties xmlns="http://schemas.openxmlformats.org/officeDocument/2006/custom-properties" xmlns:vt="http://schemas.openxmlformats.org/officeDocument/2006/docPropsVTypes"/>
</file>