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Frankfurt's</w:t>
      </w:r>
      <w:r>
        <w:t xml:space="preserve"> </w:t>
      </w:r>
      <w:r>
        <w:t xml:space="preserve">Financial</w:t>
      </w:r>
      <w:r>
        <w:t xml:space="preserve"> </w:t>
      </w:r>
      <w:r>
        <w:t xml:space="preserve">Ecosystem</w:t>
      </w:r>
    </w:p>
    <w:bookmarkStart w:id="28" w:name="X4b7c2d597e34417f91fc46e7a24e1b7641fa847"/>
    <w:p>
      <w:pPr>
        <w:pStyle w:val="Heading1"/>
      </w:pPr>
      <w:r>
        <w:t xml:space="preserve">Thesis Proposal: Navigating Digital Disruption in Germany's Financial Hub - A Frankfurt-Centric Analysis</w:t>
      </w:r>
    </w:p>
    <w:p>
      <w:pPr>
        <w:pStyle w:val="FirstParagraph"/>
      </w:pPr>
      <w:r>
        <w:rPr>
          <w:bCs/>
          <w:b/>
        </w:rPr>
        <w:t xml:space="preserve">Submitted by:</w:t>
      </w:r>
      <w:r>
        <w:t xml:space="preserve"> </w:t>
      </w:r>
      <w:r>
        <w:t xml:space="preserve">Mason Williams</w:t>
      </w:r>
      <w:r>
        <w:br/>
      </w:r>
      <w:r>
        <w:rPr>
          <w:bCs/>
          <w:b/>
        </w:rPr>
        <w:t xml:space="preserve">Institution:</w:t>
      </w:r>
      <w:r>
        <w:t xml:space="preserve"> </w:t>
      </w:r>
      <w:r>
        <w:t xml:space="preserve">Goethe University Frankfurt</w:t>
      </w:r>
      <w:r>
        <w:br/>
      </w:r>
      <w:r>
        <w:rPr>
          <w:bCs/>
          <w:b/>
        </w:rPr>
        <w:t xml:space="preserve">Program:</w:t>
      </w:r>
      <w:r>
        <w:t xml:space="preserve"> </w:t>
      </w:r>
      <w:r>
        <w:t xml:space="preserve">Master of International Business &amp; Finance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investigation into the digital transformation landscape within Germany's financial sector, with specific focus on Frankfurt as Europe's premier financial center. As Mason Williams embarks on advanced academic studies at Goethe University Frankfurt, this research addresses an urgent gap in understanding how technological disruption reshapes traditional financial ecosystems in Germany's most dynamic economic hub. Frankfurt—home to the European Central Bank (ECB), Deutsche Bundesbank, and major institutions like Deutsche Bank and Commerzbank—represents a unique laboratory for examining digital finance evolution within the EU regulatory framework.</w:t>
      </w:r>
    </w:p>
    <w:bookmarkEnd w:id="20"/>
    <w:bookmarkStart w:id="21" w:name="ii.-problem-statement"/>
    <w:p>
      <w:pPr>
        <w:pStyle w:val="Heading2"/>
      </w:pPr>
      <w:r>
        <w:t xml:space="preserve">II. Problem Statement</w:t>
      </w:r>
    </w:p>
    <w:p>
      <w:pPr>
        <w:pStyle w:val="FirstParagraph"/>
      </w:pPr>
      <w:r>
        <w:t xml:space="preserve">While digital banking adoption has accelerated across Germany, Frankfurt's financial ecosystem faces complex challenges in balancing innovation with regulatory compliance (BaFin), systemic stability, and cross-border interoperability. Current research primarily examines national-level trends without contextualizing Frankfurt's distinct position as a nexus of European finance. This thesis directly addresses the absence of granular analysis focused on how</w:t>
      </w:r>
      <w:r>
        <w:t xml:space="preserve"> </w:t>
      </w:r>
      <w:r>
        <w:rPr>
          <w:iCs/>
          <w:i/>
        </w:rPr>
        <w:t xml:space="preserve">Germany Frankfurt</w:t>
      </w:r>
      <w:r>
        <w:t xml:space="preserve"> </w:t>
      </w:r>
      <w:r>
        <w:t xml:space="preserve">serves as both a catalyst and constraint for digital transformation in European finance. Mason's proposed research will interrogate whether Frankfurt's institutional infrastructure can sustain its leadership amid fintech disruption, with critical implications for Germany's economic sovereignty.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state of digital transformation across Frankfurt-based financial institutions (banks, asset managers, fintechs) through comparative case studies.</w:t>
      </w:r>
    </w:p>
    <w:p>
      <w:pPr>
        <w:numPr>
          <w:ilvl w:val="0"/>
          <w:numId w:val="1001"/>
        </w:numPr>
        <w:pStyle w:val="Compact"/>
      </w:pPr>
      <w:r>
        <w:t xml:space="preserve">To analyze regulatory friction points between EU-wide frameworks (like PSD3 and DORA) and Frankfurt's local implementation priorities.</w:t>
      </w:r>
    </w:p>
    <w:p>
      <w:pPr>
        <w:numPr>
          <w:ilvl w:val="0"/>
          <w:numId w:val="1001"/>
        </w:numPr>
        <w:pStyle w:val="Compact"/>
      </w:pPr>
      <w:r>
        <w:t xml:space="preserve">To evaluate the impact of digital transformation on Frankfurt's competitive positioning relative to London and Amsterdam post-Brexit.</w:t>
      </w:r>
    </w:p>
    <w:p>
      <w:pPr>
        <w:numPr>
          <w:ilvl w:val="0"/>
          <w:numId w:val="1001"/>
        </w:numPr>
        <w:pStyle w:val="Compact"/>
      </w:pPr>
      <w:r>
        <w:t xml:space="preserve">To develop a context-specific framework for sustainable innovation in Germany's financial capital, addressing Mason's core interest in technology-driven institutional adaptation.</w:t>
      </w:r>
    </w:p>
    <w:bookmarkEnd w:id="22"/>
    <w:bookmarkStart w:id="23" w:name="iv.-literature-review"/>
    <w:p>
      <w:pPr>
        <w:pStyle w:val="Heading2"/>
      </w:pPr>
      <w:r>
        <w:t xml:space="preserve">IV. Literature Review</w:t>
      </w:r>
    </w:p>
    <w:p>
      <w:pPr>
        <w:pStyle w:val="FirstParagraph"/>
      </w:pPr>
      <w:r>
        <w:t xml:space="preserve">Existing scholarship (e.g., BIS 2022; European Banking Authority 2023) identifies fintech as a growth driver but overlooks Frankfurt's structural advantages and constraints. The seminal work of Dombret &amp; Schleier (2019) on ECB digitalization strategies provides foundational context but lacks empirical depth on regional implementation. Crucially, no recent studies integrate Frankfurt's unique institutional triad—central banks, commercial banks, and regulatory bodies—into digital transformation analysis. This thesis builds upon the methodological rigor of Eichner &amp; Schmiedel (2021) while addressing their gap in geographic specificity for</w:t>
      </w:r>
      <w:r>
        <w:t xml:space="preserve"> </w:t>
      </w:r>
      <w:r>
        <w:rPr>
          <w:iCs/>
          <w:i/>
        </w:rPr>
        <w:t xml:space="preserve">Germany Frankfurt</w:t>
      </w:r>
      <w:r>
        <w:t xml:space="preserve">. Mason's research will bridge this divide by grounding theory in Frankfurt's tangible ecosystem.</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institutions):</w:t>
      </w:r>
      <w:r>
        <w:t xml:space="preserve"> </w:t>
      </w:r>
      <w:r>
        <w:t xml:space="preserve">Semi-structured interviews with C-suite executives at ECB, Deutsche Bank, N26 (Frankfurt HQ), and two fintech scale-ups. Focus on operational pain points in AI adoption and blockchain integration.</w:t>
      </w:r>
    </w:p>
    <w:p>
      <w:pPr>
        <w:numPr>
          <w:ilvl w:val="0"/>
          <w:numId w:val="1002"/>
        </w:numPr>
        <w:pStyle w:val="Compact"/>
      </w:pPr>
      <w:r>
        <w:rPr>
          <w:bCs/>
          <w:b/>
        </w:rPr>
        <w:t xml:space="preserve">Quantitative Analysis:</w:t>
      </w:r>
      <w:r>
        <w:t xml:space="preserve"> </w:t>
      </w:r>
      <w:r>
        <w:t xml:space="preserve">Survey of 150 Frankfurt-based finance professionals measuring digital maturity (using adapted Gartner model) against regulatory compliance costs.</w:t>
      </w:r>
    </w:p>
    <w:p>
      <w:pPr>
        <w:numPr>
          <w:ilvl w:val="0"/>
          <w:numId w:val="1002"/>
        </w:numPr>
        <w:pStyle w:val="Compact"/>
      </w:pPr>
      <w:r>
        <w:rPr>
          <w:bCs/>
          <w:b/>
        </w:rPr>
        <w:t xml:space="preserve">Policy Document Analysis:</w:t>
      </w:r>
      <w:r>
        <w:t xml:space="preserve"> </w:t>
      </w:r>
      <w:r>
        <w:t xml:space="preserve">Comparative review of BaFin's 2020-2023 guidelines versus ECB's supervisory communications on fintech, with focus on Frankfurt-specific implementation notes.</w:t>
      </w:r>
    </w:p>
    <w:p>
      <w:pPr>
        <w:pStyle w:val="FirstParagraph"/>
      </w:pPr>
      <w:r>
        <w:t xml:space="preserve">Data collection occurs through Goethe University Frankfurt's established industry partnerships. Mason will leverage the university's proximity to Frankfurt Main Station and European Central Bank campus for streamlined fieldwork, ensuring research remains deeply anchored in the</w:t>
      </w:r>
      <w:r>
        <w:t xml:space="preserve"> </w:t>
      </w:r>
      <w:r>
        <w:rPr>
          <w:iCs/>
          <w:i/>
        </w:rPr>
        <w:t xml:space="preserve">Germany Frankfurt</w:t>
      </w:r>
      <w:r>
        <w:t xml:space="preserve"> </w:t>
      </w:r>
      <w:r>
        <w:t xml:space="preserve">context.</w:t>
      </w:r>
    </w:p>
    <w:bookmarkEnd w:id="24"/>
    <w:bookmarkStart w:id="25" w:name="vi.-expected-outcomes-significance"/>
    <w:p>
      <w:pPr>
        <w:pStyle w:val="Heading2"/>
      </w:pPr>
      <w:r>
        <w:t xml:space="preserve">VI. Expected Outcomes &amp; Significance</w:t>
      </w:r>
    </w:p>
    <w:p>
      <w:pPr>
        <w:pStyle w:val="FirstParagraph"/>
      </w:pPr>
      <w:r>
        <w:t xml:space="preserve">This thesis promises three significant contributions:</w:t>
      </w:r>
    </w:p>
    <w:p>
      <w:pPr>
        <w:numPr>
          <w:ilvl w:val="0"/>
          <w:numId w:val="1003"/>
        </w:numPr>
        <w:pStyle w:val="Compact"/>
      </w:pPr>
      <w:r>
        <w:rPr>
          <w:bCs/>
          <w:b/>
        </w:rPr>
        <w:t xml:space="preserve">Theoretical:</w:t>
      </w:r>
      <w:r>
        <w:t xml:space="preserve"> </w:t>
      </w:r>
      <w:r>
        <w:t xml:space="preserve">A novel "Frankfurt Digital Maturity Model" integrating institutional, regulatory, and technological dimensions—addressing the field's current lack of context-specific frameworks.</w:t>
      </w:r>
    </w:p>
    <w:p>
      <w:pPr>
        <w:numPr>
          <w:ilvl w:val="0"/>
          <w:numId w:val="1003"/>
        </w:numPr>
        <w:pStyle w:val="Compact"/>
      </w:pPr>
      <w:r>
        <w:rPr>
          <w:bCs/>
          <w:b/>
        </w:rPr>
        <w:t xml:space="preserve">Practical:</w:t>
      </w:r>
      <w:r>
        <w:t xml:space="preserve"> </w:t>
      </w:r>
      <w:r>
        <w:t xml:space="preserve">Actionable recommendations for Frankfurt-based institutions on optimizing digital strategies within Germany's unique regulatory landscape. Findings will directly inform Mason's internship with Deutsche Bank's Innovation Lab in Frankfurt.</w:t>
      </w:r>
    </w:p>
    <w:p>
      <w:pPr>
        <w:numPr>
          <w:ilvl w:val="0"/>
          <w:numId w:val="1003"/>
        </w:numPr>
        <w:pStyle w:val="Compact"/>
      </w:pPr>
      <w:r>
        <w:rPr>
          <w:bCs/>
          <w:b/>
        </w:rPr>
        <w:t xml:space="preserve">Policy-Relevant:</w:t>
      </w:r>
      <w:r>
        <w:t xml:space="preserve"> </w:t>
      </w:r>
      <w:r>
        <w:t xml:space="preserve">Evidence-based proposals for BaFin/EU policymakers to strengthen Germany's financial capital status through targeted digital infrastructure investment (e.g., data sovereignty frameworks for Frankfurt-based cloud services).</w:t>
      </w:r>
    </w:p>
    <w:p>
      <w:pPr>
        <w:pStyle w:val="FirstParagraph"/>
      </w:pPr>
      <w:r>
        <w:t xml:space="preserve">By centering the research on Frankfurt, this proposal transcends generic fintech studies to deliver insights with immediate relevance to Germany's economic strategy. Mason anticipates that successful completion will position him as a specialist in EU financial technology governance—a critical skill set for advancing Germany's digital sovereignty within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Nov 2023 - Jan 2024</w:t>
            </w:r>
          </w:p>
        </w:tc>
        <w:tc>
          <w:tcPr/>
          <w:p>
            <w:pPr>
              <w:pStyle w:val="Compact"/>
              <w:jc w:val="left"/>
            </w:pPr>
            <w:r>
              <w:t xml:space="preserve">Finalized research design; Institutional access agreements (Frankfurt)</w:t>
            </w:r>
          </w:p>
        </w:tc>
      </w:tr>
      <w:tr>
        <w:tc>
          <w:tcPr/>
          <w:p>
            <w:pPr>
              <w:pStyle w:val="Compact"/>
              <w:jc w:val="left"/>
            </w:pPr>
            <w:r>
              <w:t xml:space="preserve">Data Collection</w:t>
            </w:r>
          </w:p>
        </w:tc>
        <w:tc>
          <w:tcPr/>
          <w:p>
            <w:pPr>
              <w:pStyle w:val="Compact"/>
              <w:jc w:val="left"/>
            </w:pPr>
            <w:r>
              <w:t xml:space="preserve">Feb - May 2024</w:t>
            </w:r>
          </w:p>
        </w:tc>
        <w:tc>
          <w:tcPr/>
          <w:p>
            <w:pPr>
              <w:pStyle w:val="Compact"/>
              <w:jc w:val="left"/>
            </w:pPr>
            <w:r>
              <w:t xml:space="preserve">Interview transcripts; Survey data from Frankfurt institutions</w:t>
            </w:r>
          </w:p>
        </w:tc>
      </w:tr>
      <w:tr>
        <w:tc>
          <w:tcPr/>
          <w:p>
            <w:pPr>
              <w:pStyle w:val="Compact"/>
              <w:jc w:val="left"/>
            </w:pPr>
            <w:r>
              <w:t xml:space="preserve">Data Analysis &amp; Drafting</w:t>
            </w:r>
          </w:p>
        </w:tc>
        <w:tc>
          <w:tcPr/>
          <w:p>
            <w:pPr>
              <w:pStyle w:val="Compact"/>
              <w:jc w:val="left"/>
            </w:pPr>
            <w:r>
              <w:t xml:space="preserve">Jun - Aug 2024</w:t>
            </w:r>
          </w:p>
        </w:tc>
        <w:tc>
          <w:tcPr/>
          <w:p>
            <w:pPr>
              <w:pStyle w:val="Compact"/>
              <w:jc w:val="left"/>
            </w:pPr>
            <w:r>
              <w:t xml:space="preserve">First full thesis draft; Framework development for Germany Frankfurt context</w:t>
            </w:r>
          </w:p>
        </w:tc>
      </w:tr>
      <w:tr>
        <w:tc>
          <w:tcPr/>
          <w:p>
            <w:pPr>
              <w:pStyle w:val="Compact"/>
              <w:jc w:val="left"/>
            </w:pPr>
            <w:r>
              <w:t xml:space="preserve">Revision &amp; Defense Prep</w:t>
            </w:r>
          </w:p>
        </w:tc>
        <w:tc>
          <w:tcPr/>
          <w:p>
            <w:pPr>
              <w:pStyle w:val="Compact"/>
              <w:jc w:val="left"/>
            </w:pPr>
            <w:r>
              <w:t xml:space="preserve">Sep - Oct 2024</w:t>
            </w:r>
          </w:p>
        </w:tc>
        <w:tc>
          <w:tcPr/>
          <w:p>
            <w:pPr>
              <w:pStyle w:val="Compact"/>
              <w:jc w:val="left"/>
            </w:pPr>
            <w:r>
              <w:t xml:space="preserve">Final thesis submission; Defense preparation at Goethe University, Frankfurt</w:t>
            </w:r>
          </w:p>
        </w:tc>
      </w:tr>
    </w:tbl>
    <w:bookmarkEnd w:id="26"/>
    <w:bookmarkStart w:id="27" w:name="viii.-conclusion-why-germany-frankfurt"/>
    <w:p>
      <w:pPr>
        <w:pStyle w:val="Heading2"/>
      </w:pPr>
      <w:r>
        <w:t xml:space="preserve">VIII. Conclusion: Why Germany Frankfurt?</w:t>
      </w:r>
    </w:p>
    <w:p>
      <w:pPr>
        <w:pStyle w:val="FirstParagraph"/>
      </w:pPr>
      <w:r>
        <w:t xml:space="preserve">Mason's research is irrevocably tied to the geographical and institutional reality of</w:t>
      </w:r>
      <w:r>
        <w:t xml:space="preserve"> </w:t>
      </w:r>
      <w:r>
        <w:rPr>
          <w:iCs/>
          <w:i/>
        </w:rPr>
        <w:t xml:space="preserve">Germany Frankfurt</w:t>
      </w:r>
      <w:r>
        <w:t xml:space="preserve">. This city isn't merely a location—it's the operational heart of European finance where monetary policy, market infrastructure, and technological innovation converge. As Europe's largest financial hub outside London, Frankfurt represents Germany's strategic economic priority; its digital resilience directly impacts EU-wide financial stability. By anchoring this</w:t>
      </w:r>
      <w:r>
        <w:t xml:space="preserve"> </w:t>
      </w:r>
      <w:r>
        <w:rPr>
          <w:iCs/>
          <w:i/>
        </w:rPr>
        <w:t xml:space="preserve">Thesis Proposal</w:t>
      </w:r>
      <w:r>
        <w:t xml:space="preserve"> </w:t>
      </w:r>
      <w:r>
        <w:t xml:space="preserve">in Frankfurt's unique ecosystem—leverage Goethe University's research partnerships with the ECB and local firms—Mason will produce work that transcends academic exercise to deliver tangible value for Germany's economic leadership. This study promises to be a definitive resource on how Frankfurt navigates digital transformation, offering insights crucial for Germany's future competitiveness in the global financial arena.</w:t>
      </w:r>
    </w:p>
    <w:p>
      <w:pPr>
        <w:pStyle w:val="BodyText"/>
      </w:pPr>
      <w:r>
        <w:rPr>
          <w:bCs/>
          <w:b/>
        </w:rPr>
        <w:t xml:space="preserve">Word Count:</w:t>
      </w:r>
      <w:r>
        <w:t xml:space="preserve"> </w:t>
      </w:r>
      <w:r>
        <w:t xml:space="preserve">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Frankfurt's Financial Ecosystem</dc:title>
  <dc:creator/>
  <dc:language>en</dc:language>
  <cp:keywords/>
  <dcterms:created xsi:type="dcterms:W3CDTF">2026-07-18T14:59:09Z</dcterms:created>
  <dcterms:modified xsi:type="dcterms:W3CDTF">2026-07-18T14:59:09Z</dcterms:modified>
</cp:coreProperties>
</file>

<file path=docProps/custom.xml><?xml version="1.0" encoding="utf-8"?>
<Properties xmlns="http://schemas.openxmlformats.org/officeDocument/2006/custom-properties" xmlns:vt="http://schemas.openxmlformats.org/officeDocument/2006/docPropsVTypes"/>
</file>