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Masonry</w:t>
      </w:r>
      <w:r>
        <w:t xml:space="preserve"> </w:t>
      </w:r>
      <w:r>
        <w:t xml:space="preserve">Craftsmanship</w:t>
      </w:r>
      <w:r>
        <w:t xml:space="preserve"> </w:t>
      </w:r>
      <w:r>
        <w:t xml:space="preserve">in</w:t>
      </w:r>
      <w:r>
        <w:t xml:space="preserve"> </w:t>
      </w:r>
      <w:r>
        <w:t xml:space="preserve">Kazakhstan</w:t>
      </w:r>
      <w:r>
        <w:t xml:space="preserve"> </w:t>
      </w:r>
      <w:r>
        <w:t xml:space="preserve">Almaty</w:t>
      </w:r>
    </w:p>
    <w:bookmarkStart w:id="29" w:name="Xa22dd26cf9ccf2172d55a42c495ec3afc9ada81"/>
    <w:p>
      <w:pPr>
        <w:pStyle w:val="Heading1"/>
      </w:pPr>
      <w:r>
        <w:t xml:space="preserve">Thesis Proposal: Revitalizing Traditional Masonry Craftsmanship in Kazakhstan Almaty</w:t>
      </w:r>
    </w:p>
    <w:bookmarkStart w:id="20" w:name="introduction-and-background"/>
    <w:p>
      <w:pPr>
        <w:pStyle w:val="Heading2"/>
      </w:pPr>
      <w:r>
        <w:t xml:space="preserve">1. Introduction and Background</w:t>
      </w:r>
    </w:p>
    <w:p>
      <w:pPr>
        <w:pStyle w:val="FirstParagraph"/>
      </w:pPr>
      <w:r>
        <w:t xml:space="preserve">The architectural heritage of Kazakhstan, particularly in its cultural capital Almaty, represents a living chronicle of Central Asian craftsmanship. Among the most significant yet endangered traditions is stone masonry—the artistry of the</w:t>
      </w:r>
      <w:r>
        <w:t xml:space="preserve"> </w:t>
      </w:r>
      <w:r>
        <w:rPr>
          <w:iCs/>
          <w:i/>
        </w:rPr>
        <w:t xml:space="preserve">Mason</w:t>
      </w:r>
      <w:r>
        <w:t xml:space="preserve">—which has shaped Almaty's historical districts since the late 19th century. From the ornate facades of colonial-era buildings on Republic Avenue to the sacred structures in Khoja Ahmed Yasawi Mausoleum-inspired designs, traditional masonry embodies Kazakh identity and craftsmanship. However, this heritage faces existential threats from modern construction techniques, urbanization pressures, and a severe shortage of skilled</w:t>
      </w:r>
      <w:r>
        <w:t xml:space="preserve"> </w:t>
      </w:r>
      <w:r>
        <w:rPr>
          <w:iCs/>
          <w:i/>
        </w:rPr>
        <w:t xml:space="preserve">Mason</w:t>
      </w:r>
      <w:r>
        <w:t xml:space="preserve"> </w:t>
      </w:r>
      <w:r>
        <w:t xml:space="preserve">artisans. This thesis proposes a comprehensive study to document, analyze, and develop strategies for reviving traditional stonemasonry practices within Kazakhstan Almaty's urban landscape. The research addresses an urgent cultural preservation need while positioning Almaty as a regional leader in sustainable architectural heritage management.</w:t>
      </w:r>
    </w:p>
    <w:bookmarkEnd w:id="20"/>
    <w:bookmarkStart w:id="21" w:name="research-problem-and-significance"/>
    <w:p>
      <w:pPr>
        <w:pStyle w:val="Heading2"/>
      </w:pPr>
      <w:r>
        <w:t xml:space="preserve">2. Research Problem and Significance</w:t>
      </w:r>
    </w:p>
    <w:p>
      <w:pPr>
        <w:pStyle w:val="FirstParagraph"/>
      </w:pPr>
      <w:r>
        <w:t xml:space="preserve">Almaty’s historic center contains over 150 structures utilizing traditional stone techniques, yet only 14 master</w:t>
      </w:r>
      <w:r>
        <w:t xml:space="preserve"> </w:t>
      </w:r>
      <w:r>
        <w:rPr>
          <w:iCs/>
          <w:i/>
        </w:rPr>
        <w:t xml:space="preserve">Mason</w:t>
      </w:r>
      <w:r>
        <w:t xml:space="preserve">s currently practice these methods across the entire republic (Kazakh Ministry of Culture, 2023). This critical skills gap stems from three interrelated issues: (a) the decline of apprenticeship systems due to industrialization; (b) insufficient academic integration of craft traditions in Kazakhstani architectural education; and (c) lack of policy frameworks supporting cultural heritage crafts. The consequence is irreversible loss of unique techniques—such as</w:t>
      </w:r>
      <w:r>
        <w:t xml:space="preserve"> </w:t>
      </w:r>
      <w:r>
        <w:rPr>
          <w:iCs/>
          <w:i/>
        </w:rPr>
        <w:t xml:space="preserve">qozan kumir</w:t>
      </w:r>
      <w:r>
        <w:t xml:space="preserve"> </w:t>
      </w:r>
      <w:r>
        <w:t xml:space="preserve">stone carving and</w:t>
      </w:r>
      <w:r>
        <w:t xml:space="preserve"> </w:t>
      </w:r>
      <w:r>
        <w:rPr>
          <w:iCs/>
          <w:i/>
        </w:rPr>
        <w:t xml:space="preserve">toghyr</w:t>
      </w:r>
      <w:r>
        <w:t xml:space="preserve"> </w:t>
      </w:r>
      <w:r>
        <w:t xml:space="preserve">mortar mixing—that define Almaty’s visual identity. This thesis directly responds to the UNESCO 2023 call for "intangible cultural heritage revitalization in post-Soviet states" by focusing on a locally actionable solution within Kazakhstan Almaty.</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Kazakhstani architecture (e.g., Tolegenova, 2019; Kozhamkulov, 2021) predominantly examines architectural styles through a Western academic lens, neglecting the agency of</w:t>
      </w:r>
      <w:r>
        <w:t xml:space="preserve"> </w:t>
      </w:r>
      <w:r>
        <w:rPr>
          <w:iCs/>
          <w:i/>
        </w:rPr>
        <w:t xml:space="preserve">Mason</w:t>
      </w:r>
      <w:r>
        <w:t xml:space="preserve"> </w:t>
      </w:r>
      <w:r>
        <w:t xml:space="preserve">artisans. Conversely, global studies on masonry conservation (Salamon et al., 2020) emphasize European contexts without addressing Central Asian materials and techniques. Crucially, no research has analyzed Almaty’s stonemasonry in relation to contemporary sustainable urban development goals. This gap is critical as Kazakhstan advances its "Green Economy" strategy, which prioritizes resource-efficient construction—precisely where traditional masonry excels through locally sourced stone and minimal carbon footprint. By bridging these theoretical and practical voids, this study positions the</w:t>
      </w:r>
      <w:r>
        <w:t xml:space="preserve"> </w:t>
      </w:r>
      <w:r>
        <w:rPr>
          <w:iCs/>
          <w:i/>
        </w:rPr>
        <w:t xml:space="preserve">Mason</w:t>
      </w:r>
      <w:r>
        <w:t xml:space="preserve"> </w:t>
      </w:r>
      <w:r>
        <w:t xml:space="preserve">not as a relic but as an essential actor in Almaty’s sustainable future.</w:t>
      </w:r>
    </w:p>
    <w:bookmarkEnd w:id="22"/>
    <w:bookmarkStart w:id="23" w:name="research-objectives"/>
    <w:p>
      <w:pPr>
        <w:pStyle w:val="Heading2"/>
      </w:pPr>
      <w:r>
        <w:t xml:space="preserve">4. Research Objectives</w:t>
      </w:r>
    </w:p>
    <w:p>
      <w:pPr>
        <w:pStyle w:val="FirstParagraph"/>
      </w:pPr>
      <w:r>
        <w:t xml:space="preserve">This thesis aims to achieve three interdependent objectives: (1) Document 50+ traditional stone techniques practiced by the last living</w:t>
      </w:r>
      <w:r>
        <w:t xml:space="preserve"> </w:t>
      </w:r>
      <w:r>
        <w:rPr>
          <w:iCs/>
          <w:i/>
        </w:rPr>
        <w:t xml:space="preserve">Mason</w:t>
      </w:r>
      <w:r>
        <w:t xml:space="preserve">s in Almaty through oral histories and technical filming; (2) Develop a curriculum for integrating masonry skills into Almaty’s Architectural University, co-created with master artisans; and (3) Propose policy recommendations for municipal heritage conservation funds targeting craft revitalization. Each objective addresses a specific layer of the preservation challenge—from documentation to education to institutional support—ensuring holistic impact.</w:t>
      </w:r>
    </w:p>
    <w:bookmarkEnd w:id="23"/>
    <w:bookmarkStart w:id="24" w:name="methodology"/>
    <w:p>
      <w:pPr>
        <w:pStyle w:val="Heading2"/>
      </w:pPr>
      <w:r>
        <w:t xml:space="preserve">5. Methodology</w:t>
      </w:r>
    </w:p>
    <w:p>
      <w:pPr>
        <w:pStyle w:val="FirstParagraph"/>
      </w:pPr>
      <w:r>
        <w:t xml:space="preserve">The study employs a mixed-methods approach grounded in participatory action research: (a) Qualitative: 30+ in-depth interviews with senior</w:t>
      </w:r>
      <w:r>
        <w:t xml:space="preserve"> </w:t>
      </w:r>
      <w:r>
        <w:rPr>
          <w:iCs/>
          <w:i/>
        </w:rPr>
        <w:t xml:space="preserve">Mason</w:t>
      </w:r>
      <w:r>
        <w:t xml:space="preserve">s and architects, combined with photographic/technical mapping of historic sites; (b) Quantitative: Surveys of 200 Almaty construction professionals assessing skills gaps and market demand; (c) Actionable Component: Co-design workshops with the Kazakh Academy of Arts to prototype a modular masonry training module. Crucially, all fieldwork will occur within Kazakhstan Almaty’s urban fabric—focusing on neighborhoods like Abai Avenue, where 70% of historic stone structures remain—but with strict adherence to Kazakh cultural protocols (e.g., consent processes involving local *zhuz* leaders). Data analysis will use NVivo for qualitative insights and SPSS for survey metrics, ensuring academic rigor within the Kazakhstani context.</w:t>
      </w:r>
    </w:p>
    <w:bookmarkEnd w:id="24"/>
    <w:bookmarkStart w:id="25" w:name="expected-outcomes-and-innovation"/>
    <w:p>
      <w:pPr>
        <w:pStyle w:val="Heading2"/>
      </w:pPr>
      <w:r>
        <w:t xml:space="preserve">6. Expected Outcomes and Innovation</w:t>
      </w:r>
    </w:p>
    <w:p>
      <w:pPr>
        <w:pStyle w:val="FirstParagraph"/>
      </w:pPr>
      <w:r>
        <w:t xml:space="preserve">Anticipated deliverables include: (1) A digital archive of stonemasonry techniques with audio-visual guides in Kazakh and Russian; (2) An accreditation-ready training program for Almaty’s vocational schools; and (3) A municipal policy brief advocating for "craft heritage" budget lines within Almaty City Administration’s 2030 Urban Development Plan. The innovation lies in reframing the</w:t>
      </w:r>
      <w:r>
        <w:t xml:space="preserve"> </w:t>
      </w:r>
      <w:r>
        <w:rPr>
          <w:iCs/>
          <w:i/>
        </w:rPr>
        <w:t xml:space="preserve">Mason</w:t>
      </w:r>
      <w:r>
        <w:t xml:space="preserve"> </w:t>
      </w:r>
      <w:r>
        <w:t xml:space="preserve">as an agent of sustainable development—aligning with Kazakhstan’s National Strategy for Sustainable Development (2025) and demonstrating that cultural preservation directly advances green construction goals. For example, traditional stone mortars require 60% less energy to produce than cement-based alternatives, a metric critical for Almaty’s climate action targets.</w:t>
      </w:r>
    </w:p>
    <w:bookmarkEnd w:id="25"/>
    <w:bookmarkStart w:id="26" w:name="timeline-and-feasibility"/>
    <w:p>
      <w:pPr>
        <w:pStyle w:val="Heading2"/>
      </w:pPr>
      <w:r>
        <w:t xml:space="preserve">7. Timeline and Feasibility</w:t>
      </w:r>
    </w:p>
    <w:p>
      <w:pPr>
        <w:pStyle w:val="FirstParagraph"/>
      </w:pPr>
      <w:r>
        <w:t xml:space="preserve">The 18-month research timeline is structured for practical implementation within Kazakhstan’s academic calendar: Months 1-4 focus on site mapping and stakeholder engagement in Almaty; Months 5-9 involve artisan interviews and curriculum design; Months 10-14 test pilot workshops at Almaty University of Architecture &amp; Construction; Month 15-18 produce policy recommendations. Feasibility is ensured through existing partnerships: (a) The Almaty City Heritage Office has committed to data access; (b) The Kazakh National Museum of Art provides studio space for artisan collaboration; and (c) Funding will be secured through the Ministry of Culture’s "Intangible Heritage Grant Program," which recently allocated $250,000 for similar projects. This alignment with governmental priorities significantly increases project viability in Kazakhstan Almaty.</w:t>
      </w:r>
    </w:p>
    <w:bookmarkEnd w:id="26"/>
    <w:bookmarkStart w:id="27" w:name="conclusion"/>
    <w:p>
      <w:pPr>
        <w:pStyle w:val="Heading2"/>
      </w:pPr>
      <w:r>
        <w:t xml:space="preserve">8. Conclusion</w:t>
      </w:r>
    </w:p>
    <w:p>
      <w:pPr>
        <w:pStyle w:val="FirstParagraph"/>
      </w:pPr>
      <w:r>
        <w:t xml:space="preserve">Preserving the craft of the</w:t>
      </w:r>
      <w:r>
        <w:t xml:space="preserve"> </w:t>
      </w:r>
      <w:r>
        <w:rPr>
          <w:iCs/>
          <w:i/>
        </w:rPr>
        <w:t xml:space="preserve">Mason</w:t>
      </w:r>
      <w:r>
        <w:t xml:space="preserve"> </w:t>
      </w:r>
      <w:r>
        <w:t xml:space="preserve">in Kazakhstan Almaty is not merely about saving old buildings—it is about securing a sustainable, culturally rooted future for urban development. This thesis proposal transcends academic inquiry to become a catalyst for tangible change: reviving artisan livelihoods while advancing Almaty’s reputation as a hub of eco-conscious heritage. As global cities grapple with the tension between modernization and tradition, Almaty has an opportunity to pioneer an integrated model where the</w:t>
      </w:r>
      <w:r>
        <w:t xml:space="preserve"> </w:t>
      </w:r>
      <w:r>
        <w:rPr>
          <w:iCs/>
          <w:i/>
        </w:rPr>
        <w:t xml:space="preserve">Mason</w:t>
      </w:r>
      <w:r>
        <w:t xml:space="preserve">’s legacy directly informs contemporary architecture. By centering local knowledge within a framework of national development goals, this research promises not only to safeguard Kazakhstan’s architectural soul but also to generate replicable strategies for Central Asia. The time for this</w:t>
      </w:r>
      <w:r>
        <w:t xml:space="preserve"> </w:t>
      </w:r>
      <w:r>
        <w:rPr>
          <w:iCs/>
          <w:i/>
        </w:rPr>
        <w:t xml:space="preserve">Thesis Proposal</w:t>
      </w:r>
      <w:r>
        <w:t xml:space="preserve"> </w:t>
      </w:r>
      <w:r>
        <w:t xml:space="preserve">is now—before the last stones carved by hand are lost to time in the heart of Kazakhstan Almaty.</w:t>
      </w:r>
    </w:p>
    <w:bookmarkEnd w:id="27"/>
    <w:bookmarkStart w:id="28" w:name="references-selected"/>
    <w:p>
      <w:pPr>
        <w:pStyle w:val="Heading2"/>
      </w:pPr>
      <w:r>
        <w:t xml:space="preserve">References (Selected)</w:t>
      </w:r>
    </w:p>
    <w:p>
      <w:pPr>
        <w:numPr>
          <w:ilvl w:val="0"/>
          <w:numId w:val="1001"/>
        </w:numPr>
        <w:pStyle w:val="Compact"/>
      </w:pPr>
      <w:r>
        <w:t xml:space="preserve">Kazakh Ministry of Culture. (2023). *State Report on Intangible Cultural Heritage*. Nur-Sultan: Government Press.</w:t>
      </w:r>
    </w:p>
    <w:p>
      <w:pPr>
        <w:numPr>
          <w:ilvl w:val="0"/>
          <w:numId w:val="1001"/>
        </w:numPr>
        <w:pStyle w:val="Compact"/>
      </w:pPr>
      <w:r>
        <w:t xml:space="preserve">Salamon, G., et al. (2020). *Stone Conservation in the Global South*. ICOMOS Technical Reports.</w:t>
      </w:r>
    </w:p>
    <w:p>
      <w:pPr>
        <w:numPr>
          <w:ilvl w:val="0"/>
          <w:numId w:val="1001"/>
        </w:numPr>
        <w:pStyle w:val="Compact"/>
      </w:pPr>
      <w:r>
        <w:t xml:space="preserve">Tolegenova, A. (2019). *Almaty Architecture: From Steppe to Cityscape*. Almaty Press.</w:t>
      </w:r>
    </w:p>
    <w:p>
      <w:pPr>
        <w:numPr>
          <w:ilvl w:val="0"/>
          <w:numId w:val="1001"/>
        </w:numPr>
        <w:pStyle w:val="Compact"/>
      </w:pPr>
      <w:r>
        <w:t xml:space="preserve">Kazakhstan Government. (2023). *National Strategy for Sustainable Development 2035*, Chapter 4: Green Construction.</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Masonry Craftsmanship in Kazakhstan Almaty</dc:title>
  <dc:creator/>
  <dc:language>en</dc:language>
  <cp:keywords/>
  <dcterms:created xsi:type="dcterms:W3CDTF">2026-07-21T02:23:26Z</dcterms:created>
  <dcterms:modified xsi:type="dcterms:W3CDTF">2026-07-21T02:23:26Z</dcterms:modified>
</cp:coreProperties>
</file>

<file path=docProps/custom.xml><?xml version="1.0" encoding="utf-8"?>
<Properties xmlns="http://schemas.openxmlformats.org/officeDocument/2006/custom-properties" xmlns:vt="http://schemas.openxmlformats.org/officeDocument/2006/docPropsVTypes"/>
</file>