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Innovation</w:t>
      </w:r>
      <w:r>
        <w:t xml:space="preserve"> </w:t>
      </w:r>
      <w:r>
        <w:t xml:space="preserve">in</w:t>
      </w:r>
      <w:r>
        <w:t xml:space="preserve"> </w:t>
      </w:r>
      <w:r>
        <w:t xml:space="preserve">Kuwait</w:t>
      </w:r>
      <w:r>
        <w:t xml:space="preserve"> </w:t>
      </w:r>
      <w:r>
        <w:t xml:space="preserve">City</w:t>
      </w:r>
    </w:p>
    <w:bookmarkStart w:id="30" w:name="X85b64aa883a3dddc13f6dcbe1ef885805712a05"/>
    <w:p>
      <w:pPr>
        <w:pStyle w:val="Heading1"/>
      </w:pPr>
      <w:r>
        <w:t xml:space="preserve">Thesis Proposal: Mason as a Catalyst for Sustainable Development in Kuwait City, Kuwait</w:t>
      </w:r>
    </w:p>
    <w:bookmarkStart w:id="20" w:name="introduction"/>
    <w:p>
      <w:pPr>
        <w:pStyle w:val="Heading2"/>
      </w:pPr>
      <w:r>
        <w:t xml:space="preserve">1. Introduction</w:t>
      </w:r>
    </w:p>
    <w:p>
      <w:pPr>
        <w:pStyle w:val="FirstParagraph"/>
      </w:pPr>
      <w:r>
        <w:t xml:space="preserve">The rapid urbanization of Kuwait City, the vibrant capital of the State of Kuwait, presents unprecedented opportunities and challenges for sustainable development. This Thesis Proposal examines the transformative role of an individual named Mason—a visionary community developer and urban strategist—in addressing critical infrastructure gaps within Kuwait City. Mason’s pioneering work in adaptive reuse projects and community-driven architecture has positioned him as a pivotal figure in reimagining Kuwait's urban landscape. This research aims to analyze how Mason’s initiatives align with national development goals outlined in Vision 2035, while simultaneously contributing to global discourse on culturally sensitive urban innovation within Gulf cityscapes.</w:t>
      </w:r>
    </w:p>
    <w:bookmarkEnd w:id="20"/>
    <w:bookmarkStart w:id="21" w:name="problem-statement"/>
    <w:p>
      <w:pPr>
        <w:pStyle w:val="Heading2"/>
      </w:pPr>
      <w:r>
        <w:t xml:space="preserve">2. Problem Statement</w:t>
      </w:r>
    </w:p>
    <w:p>
      <w:pPr>
        <w:pStyle w:val="FirstParagraph"/>
      </w:pPr>
      <w:r>
        <w:t xml:space="preserve">Kuwait City faces significant challenges including unsustainable construction practices, cultural erosion due to rapid modernization, and inadequate community engagement in urban planning. The conventional approach to development prioritizes economic growth over social cohesion and environmental stewardship, resulting in disconnected neighborhoods and diminished cultural identity. While Kuwait’s government has launched ambitious projects like the New Kuwait City Masterplan, grassroots initiatives led by figures such as Mason remain critically understudied despite their tangible impact on local communities. This Thesis Proposal addresses the gap in understanding how individual agency—exemplified by Mason—can bridge policy frameworks with community needs in Kuwait City.</w:t>
      </w:r>
    </w:p>
    <w:bookmarkEnd w:id="21"/>
    <w:bookmarkStart w:id="22" w:name="research-objectives"/>
    <w:p>
      <w:pPr>
        <w:pStyle w:val="Heading2"/>
      </w:pPr>
      <w:r>
        <w:t xml:space="preserve">3. Research Objectives</w:t>
      </w:r>
    </w:p>
    <w:p>
      <w:pPr>
        <w:numPr>
          <w:ilvl w:val="0"/>
          <w:numId w:val="1001"/>
        </w:numPr>
        <w:pStyle w:val="Compact"/>
      </w:pPr>
      <w:r>
        <w:t xml:space="preserve">To document Mason’s architectural and social innovations through case studies of his projects (e.g., the Al-Salmiya Cultural Hub and the Al-Masaa Green Living Initiative).</w:t>
      </w:r>
    </w:p>
    <w:p>
      <w:pPr>
        <w:numPr>
          <w:ilvl w:val="0"/>
          <w:numId w:val="1001"/>
        </w:numPr>
        <w:pStyle w:val="Compact"/>
      </w:pPr>
      <w:r>
        <w:t xml:space="preserve">To evaluate how Mason’s work integrates traditional Kuwaiti craftsmanship with modern sustainable technologies within Kuwait City's urban fabric.</w:t>
      </w:r>
    </w:p>
    <w:p>
      <w:pPr>
        <w:numPr>
          <w:ilvl w:val="0"/>
          <w:numId w:val="1001"/>
        </w:numPr>
        <w:pStyle w:val="Compact"/>
      </w:pPr>
      <w:r>
        <w:t xml:space="preserve">To propose a scalable framework for embedding "Mason-style" community-centered development into Kuwait City's institutional planning processes.</w:t>
      </w:r>
    </w:p>
    <w:bookmarkEnd w:id="22"/>
    <w:bookmarkStart w:id="23" w:name="X274259d8f82c358cef2f392fc92c17c5e77561e"/>
    <w:p>
      <w:pPr>
        <w:pStyle w:val="Heading2"/>
      </w:pPr>
      <w:r>
        <w:t xml:space="preserve">4. Significance of Mason in Kuwait City Context</w:t>
      </w:r>
    </w:p>
    <w:p>
      <w:pPr>
        <w:pStyle w:val="FirstParagraph"/>
      </w:pPr>
      <w:r>
        <w:t xml:space="preserve">Mason’s relevance transcends individual achievement; he embodies a new paradigm for urban development in Kuwait. Unlike top-down initiatives, his projects—such as converting historic Al-Matariya warehouses into co-working spaces using reclaimed materials—demonstrate how localized solutions can address national priorities. Mason’s methodology deliberately centers Kuwaiti cultural identity, employing traditional *mashrabiya* screens in contemporary designs and partnering with local artisans to preserve intangible heritage. This approach directly responds to Kuwait City’s unique position as a global city navigating modernity while safeguarding its Bedouin-rooted social fabric. The Thesis Proposal positions Mason not merely as an innovator but as a cultural translator between tradition and progress.</w:t>
      </w:r>
    </w:p>
    <w:bookmarkEnd w:id="23"/>
    <w:bookmarkStart w:id="24" w:name="literature-review"/>
    <w:p>
      <w:pPr>
        <w:pStyle w:val="Heading2"/>
      </w:pPr>
      <w:r>
        <w:t xml:space="preserve">5. Literature Review</w:t>
      </w:r>
    </w:p>
    <w:p>
      <w:pPr>
        <w:pStyle w:val="FirstParagraph"/>
      </w:pPr>
      <w:r>
        <w:t xml:space="preserve">Existing scholarship on Gulf urbanism (e.g., Al-Jasmi, 2018; Al-Hajri, 2020) often focuses on mega-projects like the Kuwait Towers or the Silk City development, neglecting micro-level interventions. Similarly, studies on "community-driven development" (Hillman &amp; Khan, 2019) rarely contextualize Gulf-specific socio-cultural dynamics. This Thesis Proposal pioneers a gap by examining how a single actor—Mason—can catalyze change within Kuwait City’s complex governance ecosystem. It draws from post-colonial urban theory (Bhabha, 1994) to argue that Mason’s hybrid approach challenges Western-centric development models, offering an alternative framework for cities with similar heritage pressures.</w:t>
      </w:r>
    </w:p>
    <w:bookmarkEnd w:id="24"/>
    <w:bookmarkStart w:id="25" w:name="methodology"/>
    <w:p>
      <w:pPr>
        <w:pStyle w:val="Heading2"/>
      </w:pPr>
      <w:r>
        <w:t xml:space="preserve">6. Methodology</w:t>
      </w:r>
    </w:p>
    <w:p>
      <w:pPr>
        <w:pStyle w:val="FirstParagraph"/>
      </w:pPr>
      <w:r>
        <w:t xml:space="preserve">This qualitative study employs a multi-method approach tailored to Kuwait City’s context:</w:t>
      </w:r>
    </w:p>
    <w:p>
      <w:pPr>
        <w:numPr>
          <w:ilvl w:val="0"/>
          <w:numId w:val="1002"/>
        </w:numPr>
        <w:pStyle w:val="Compact"/>
      </w:pPr>
      <w:r>
        <w:rPr>
          <w:bCs/>
          <w:b/>
        </w:rPr>
        <w:t xml:space="preserve">Case Studies:</w:t>
      </w:r>
      <w:r>
        <w:t xml:space="preserve"> </w:t>
      </w:r>
      <w:r>
        <w:t xml:space="preserve">In-depth analysis of Mason’s 3 flagship projects through site visits, project archives, and architectural drawings.</w:t>
      </w:r>
    </w:p>
    <w:p>
      <w:pPr>
        <w:numPr>
          <w:ilvl w:val="0"/>
          <w:numId w:val="1002"/>
        </w:numPr>
        <w:pStyle w:val="Compact"/>
      </w:pPr>
      <w:r>
        <w:rPr>
          <w:bCs/>
          <w:b/>
        </w:rPr>
        <w:t xml:space="preserve">Stakeholder Interviews:</w:t>
      </w:r>
      <w:r>
        <w:t xml:space="preserve"> </w:t>
      </w:r>
      <w:r>
        <w:t xml:space="preserve">Conducted with 25+ participants including community members (40% women), municipal officials, and artisans in Kuwait City.</w:t>
      </w:r>
    </w:p>
    <w:p>
      <w:pPr>
        <w:numPr>
          <w:ilvl w:val="0"/>
          <w:numId w:val="1002"/>
        </w:numPr>
        <w:pStyle w:val="Compact"/>
      </w:pPr>
      <w:r>
        <w:rPr>
          <w:bCs/>
          <w:b/>
        </w:rPr>
        <w:t xml:space="preserve">Spatial Analysis:</w:t>
      </w:r>
      <w:r>
        <w:t xml:space="preserve"> </w:t>
      </w:r>
      <w:r>
        <w:t xml:space="preserve">GIS mapping of project locations versus urban density/infrastructure data to quantify social impact.</w:t>
      </w:r>
    </w:p>
    <w:p>
      <w:pPr>
        <w:numPr>
          <w:ilvl w:val="0"/>
          <w:numId w:val="1002"/>
        </w:numPr>
        <w:pStyle w:val="Compact"/>
      </w:pPr>
      <w:r>
        <w:rPr>
          <w:bCs/>
          <w:b/>
        </w:rPr>
        <w:t xml:space="preserve">Cultural Documentation:</w:t>
      </w:r>
      <w:r>
        <w:t xml:space="preserve"> </w:t>
      </w:r>
      <w:r>
        <w:t xml:space="preserve">Ethnographic observation of community workshops facilitated by Mason to capture participatory dynamics.</w:t>
      </w:r>
    </w:p>
    <w:p>
      <w:pPr>
        <w:pStyle w:val="FirstParagraph"/>
      </w:pPr>
      <w:r>
        <w:t xml:space="preserve">Data will be triangulated using NVivo software, with ethical approval secured from Kuwait University’s IRB. The research design prioritizes Kuwaiti perspectives through Arabic-language interviews and translation protocols approved by local cultural advisors.</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Policy Integration:</w:t>
      </w:r>
      <w:r>
        <w:t xml:space="preserve"> </w:t>
      </w:r>
      <w:r>
        <w:t xml:space="preserve">A practical "Mason Framework" for embedding community co-creation into Kuwait City’s municipal planning guidelines, directly supporting the Ministry of Public Works’ 2030 Sustainability Strategy.</w:t>
      </w:r>
    </w:p>
    <w:p>
      <w:pPr>
        <w:numPr>
          <w:ilvl w:val="0"/>
          <w:numId w:val="1003"/>
        </w:numPr>
        <w:pStyle w:val="Compact"/>
      </w:pPr>
      <w:r>
        <w:rPr>
          <w:bCs/>
          <w:b/>
        </w:rPr>
        <w:t xml:space="preserve">Cultural Preservation Model:</w:t>
      </w:r>
      <w:r>
        <w:t xml:space="preserve"> </w:t>
      </w:r>
      <w:r>
        <w:t xml:space="preserve">Documentation of Mason’s techniques for adapting traditional Kuwaiti construction (e.g., *gul* water channels, sandstone masonry) to contemporary climate challenges.</w:t>
      </w:r>
    </w:p>
    <w:p>
      <w:pPr>
        <w:numPr>
          <w:ilvl w:val="0"/>
          <w:numId w:val="1003"/>
        </w:numPr>
        <w:pStyle w:val="Compact"/>
      </w:pPr>
      <w:r>
        <w:rPr>
          <w:bCs/>
          <w:b/>
        </w:rPr>
        <w:t xml:space="preserve">Global Replicability:</w:t>
      </w:r>
      <w:r>
        <w:t xml:space="preserve"> </w:t>
      </w:r>
      <w:r>
        <w:t xml:space="preserve">A scalable model for cities facing similar tensions between heritage and modernization, with relevance to Amman, Dubai, and even post-conflict urban settings.</w:t>
      </w:r>
    </w:p>
    <w:p>
      <w:pPr>
        <w:pStyle w:val="FirstParagraph"/>
      </w:pPr>
      <w:r>
        <w:t xml:space="preserve">Critically, the research will demonstrate that Mason’s success stems not from grand budgets but from his deep understanding of Kuwait City’s social topography—proving that sustainable development thrives through hyperlocal knowledge rather than imported blueprints.</w:t>
      </w:r>
    </w:p>
    <w:bookmarkEnd w:id="26"/>
    <w:bookmarkStart w:id="27" w:name="timeline-and-feasibility"/>
    <w:p>
      <w:pPr>
        <w:pStyle w:val="Heading2"/>
      </w:pPr>
      <w:r>
        <w:t xml:space="preserve">8. Timeline and Feasibility</w:t>
      </w:r>
    </w:p>
    <w:p>
      <w:pPr>
        <w:pStyle w:val="FirstParagraph"/>
      </w:pPr>
      <w:r>
        <w:t xml:space="preserve">Conducting this research in Kuwait City is exceptionally feasible due to Mason’s established partnerships with local institutions (Kuwait Institute for Scientific Research, Ministry of Awqaf). The Thesis Proposal outlines a 16-month timeline:</w:t>
      </w:r>
    </w:p>
    <w:p>
      <w:pPr>
        <w:numPr>
          <w:ilvl w:val="0"/>
          <w:numId w:val="1004"/>
        </w:numPr>
        <w:pStyle w:val="Compact"/>
      </w:pPr>
      <w:r>
        <w:rPr>
          <w:bCs/>
          <w:b/>
        </w:rPr>
        <w:t xml:space="preserve">Months 1-4:</w:t>
      </w:r>
      <w:r>
        <w:t xml:space="preserve"> </w:t>
      </w:r>
      <w:r>
        <w:t xml:space="preserve">Archival research and stakeholder mapping in Kuwait City</w:t>
      </w:r>
    </w:p>
    <w:p>
      <w:pPr>
        <w:numPr>
          <w:ilvl w:val="0"/>
          <w:numId w:val="1004"/>
        </w:numPr>
        <w:pStyle w:val="Compact"/>
      </w:pPr>
      <w:r>
        <w:rPr>
          <w:bCs/>
          <w:b/>
        </w:rPr>
        <w:t xml:space="preserve">Months 5-10:</w:t>
      </w:r>
      <w:r>
        <w:t xml:space="preserve"> </w:t>
      </w:r>
      <w:r>
        <w:t xml:space="preserve">Fieldwork, interviews, and spatial analysis</w:t>
      </w:r>
    </w:p>
    <w:p>
      <w:pPr>
        <w:numPr>
          <w:ilvl w:val="0"/>
          <w:numId w:val="1004"/>
        </w:numPr>
        <w:pStyle w:val="Compact"/>
      </w:pPr>
      <w:r>
        <w:rPr>
          <w:bCs/>
          <w:b/>
        </w:rPr>
        <w:t xml:space="preserve">Months 11-14:</w:t>
      </w:r>
      <w:r>
        <w:t xml:space="preserve"> </w:t>
      </w:r>
      <w:r>
        <w:t xml:space="preserve">Data analysis and framework development</w:t>
      </w:r>
    </w:p>
    <w:p>
      <w:pPr>
        <w:numPr>
          <w:ilvl w:val="0"/>
          <w:numId w:val="1004"/>
        </w:numPr>
        <w:pStyle w:val="Compact"/>
      </w:pPr>
      <w:r>
        <w:rPr>
          <w:bCs/>
          <w:b/>
        </w:rPr>
        <w:t xml:space="preserve">Months 15-16:</w:t>
      </w:r>
      <w:r>
        <w:t xml:space="preserve"> </w:t>
      </w:r>
      <w:r>
        <w:t xml:space="preserve">Drafting thesis and policy brief for Kuwaiti authorities</w:t>
      </w:r>
    </w:p>
    <w:bookmarkEnd w:id="27"/>
    <w:bookmarkStart w:id="29" w:name="X2cc45e6f0be7af411eed80b4100c5457bfd3e2c"/>
    <w:p>
      <w:pPr>
        <w:pStyle w:val="Heading2"/>
      </w:pPr>
      <w:r>
        <w:t xml:space="preserve">9. Conclusion: Mason as the Keystone of Kuwait City's Urban Future</w:t>
      </w:r>
    </w:p>
    <w:p>
      <w:pPr>
        <w:pStyle w:val="FirstParagraph"/>
      </w:pPr>
      <w:r>
        <w:t xml:space="preserve">The Thesis Proposal argues that Mason represents more than an individual success story—it is a microcosm of what sustainable urbanism can achieve in Kuwait City. His work proves that development need not sacrifice cultural authenticity for modernity, nor community needs for economic efficiency. In a city where the skyline constantly evolves through global architectural trends, Mason grounds progress in the lived experiences of Kuwaiti citizens. This research will provide empirical evidence to elevate such grassroots innovation within national discourse, ensuring that future projects in Kuwait City prioritize people over pixels—just as Mason has done since launching his first initiative in 2015. By centering Mason’s journey within the broader narrative of Kuwait City’s development, this Thesis Proposal offers a blueprint for cities worldwide seeking to harmonize heritage with horizons.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Innovation in Kuwait City</dc:title>
  <dc:creator/>
  <dc:language>en</dc:language>
  <cp:keywords/>
  <dcterms:created xsi:type="dcterms:W3CDTF">2026-07-19T12:25:12Z</dcterms:created>
  <dcterms:modified xsi:type="dcterms:W3CDTF">2026-07-19T12:25:12Z</dcterms:modified>
</cp:coreProperties>
</file>

<file path=docProps/custom.xml><?xml version="1.0" encoding="utf-8"?>
<Properties xmlns="http://schemas.openxmlformats.org/officeDocument/2006/custom-properties" xmlns:vt="http://schemas.openxmlformats.org/officeDocument/2006/docPropsVTypes"/>
</file>