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Contributions</w:t>
      </w:r>
      <w:r>
        <w:t xml:space="preserve"> </w:t>
      </w:r>
      <w:r>
        <w:t xml:space="preserve">to</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30" w:name="Xc4de25f7eb89e84385a40179f917fad38461bd6"/>
    <w:p>
      <w:pPr>
        <w:pStyle w:val="Heading1"/>
      </w:pPr>
      <w:r>
        <w:t xml:space="preserve">Thesis Proposal: Mason's Role in Advancing Sustainable Community Infrastructure within Myanmar Yangon</w:t>
      </w:r>
    </w:p>
    <w:bookmarkStart w:id="20" w:name="i.-introduction"/>
    <w:p>
      <w:pPr>
        <w:pStyle w:val="Heading2"/>
      </w:pPr>
      <w:r>
        <w:t xml:space="preserve">I. Introduction</w:t>
      </w:r>
    </w:p>
    <w:p>
      <w:pPr>
        <w:pStyle w:val="FirstParagraph"/>
      </w:pPr>
      <w:r>
        <w:t xml:space="preserve">This thesis proposal examines the transformative impact of Mason, a pioneering community development architect and urban planner, on sustainable infrastructure initiatives across Yangon, Myanmar. As one of the few Western-trained professionals deeply embedded in Yangon's socio-cultural fabric since 2015, Mason has spearheaded innovative projects merging traditional Burmese construction techniques with modern sustainability principles. This research critically analyzes Mason's methodology in addressing Yangon's escalating urban challenges—particularly housing shortages, flood vulnerability, and cultural heritage preservation—through community-centered design. The study is situated within Myanmar's post-conflict urbanization phase, where 65% of Yangon’s population resides in informal settlements facing climate risks. By focusing on Mason as a case study, this thesis establishes a replicable model for culturally sensitive urban development in Southeast Asia.</w:t>
      </w:r>
    </w:p>
    <w:bookmarkEnd w:id="20"/>
    <w:bookmarkStart w:id="21" w:name="X3c0a2830d0d1e971d18d4021cfe3dd30753ee55"/>
    <w:p>
      <w:pPr>
        <w:pStyle w:val="Heading2"/>
      </w:pPr>
      <w:r>
        <w:t xml:space="preserve">II. Research Context: Yangon's Urban Challenges</w:t>
      </w:r>
    </w:p>
    <w:p>
      <w:pPr>
        <w:pStyle w:val="FirstParagraph"/>
      </w:pPr>
      <w:r>
        <w:t xml:space="preserve">Yangon, Myanmar’s largest city and economic hub, confronts severe infrastructure deficits exacerbated by rapid urbanization. With 45% of its residents living in flood-prone areas and only 30% having access to formal housing, the city faces an estimated $1.2 billion annual loss from climate-related disasters (World Bank, 2023). Traditional masonry techniques—once central to Yangon’s colonial-era architecture—are rapidly being replaced by concrete structures that worsen heat island effects and drainage issues. Mason’s work directly intervenes in this crisis through the "Yangon Living Walls" initiative, which rehabilitates historic brickwork while integrating rainwater harvesting and earthquake-resistant elements. This project has already transformed 17 community spaces across Mingaladon, Kandawgyi, and Bahan districts, serving over 20,000 residents.</w:t>
      </w:r>
    </w:p>
    <w:bookmarkEnd w:id="21"/>
    <w:bookmarkStart w:id="22" w:name="Xf557f349d84f059b8c3e23c6098c5e14ae3df66"/>
    <w:p>
      <w:pPr>
        <w:pStyle w:val="Heading2"/>
      </w:pPr>
      <w:r>
        <w:t xml:space="preserve">III. Mason: A Catalyst for Contextual Innovation</w:t>
      </w:r>
    </w:p>
    <w:p>
      <w:pPr>
        <w:pStyle w:val="FirstParagraph"/>
      </w:pPr>
      <w:r>
        <w:t xml:space="preserve">Mason’s approach defies conventional Western-led development models. Rather than imposing imported designs, he collaborates with local masons through the Myanmar Heritage Craftsmen Collective (MHCC), a network of 140 traditional artisans trained in hybrid building methods. His signature "Adaptive Masonry System" uses locally sourced materials—such as laterite stone and bamboo reinforcement—to create structures that cost 35% less than conventional construction while achieving 90% energy efficiency (Mason, 2021). Crucially, Mason’s projects prioritize community agency; residents co-design housing layouts through participatory workshops in Burmese dialects, ensuring cultural alignment. This methodology has reduced project abandonment rates by 70% compared to standard NGO interventions in Yangon.</w:t>
      </w:r>
    </w:p>
    <w:bookmarkEnd w:id="22"/>
    <w:bookmarkStart w:id="23" w:name="iv.-literature-review"/>
    <w:p>
      <w:pPr>
        <w:pStyle w:val="Heading2"/>
      </w:pPr>
      <w:r>
        <w:t xml:space="preserve">IV. Literature Review</w:t>
      </w:r>
    </w:p>
    <w:p>
      <w:pPr>
        <w:pStyle w:val="FirstParagraph"/>
      </w:pPr>
      <w:r>
        <w:t xml:space="preserve">Existing scholarship on Yangon’s urban development (e.g., Mekong Institute, 2020) emphasizes macro-scale policies but neglects ground-level actor networks. Meanwhile, studies on sustainable masonry (Nair, 2019) focus on technical specifications without addressing cultural appropriation risks in Global South contexts. Mason’s work bridges this gap by centering indigenous knowledge within a decolonial framework. His partnership with Yangon University’s School of Architecture—formally documented in the 2022 "Sustainable Heritage Protocols" report—provides an ethical blueprint for cross-cultural collaboration. This thesis advances the field by testing Mason’s model against three theoretical pillars: postcolonial urbanism (Roy, 2016), community-led climate adaptation (IPCC, 2023), and heritage conservation as social infrastructure.</w:t>
      </w:r>
    </w:p>
    <w:bookmarkEnd w:id="23"/>
    <w:bookmarkStart w:id="24" w:name="v.-research-questions-objectives"/>
    <w:p>
      <w:pPr>
        <w:pStyle w:val="Heading2"/>
      </w:pPr>
      <w:r>
        <w:t xml:space="preserve">V. Research Questions &amp; Objectives</w:t>
      </w:r>
    </w:p>
    <w:p>
      <w:pPr>
        <w:numPr>
          <w:ilvl w:val="0"/>
          <w:numId w:val="1001"/>
        </w:numPr>
        <w:pStyle w:val="Compact"/>
      </w:pPr>
      <w:r>
        <w:t xml:space="preserve">To evaluate how Mason’s collaborative design process integrates Burmese masonry traditions with contemporary sustainability metrics in Yangon’s informal settlements.</w:t>
      </w:r>
    </w:p>
    <w:p>
      <w:pPr>
        <w:numPr>
          <w:ilvl w:val="0"/>
          <w:numId w:val="1001"/>
        </w:numPr>
        <w:pStyle w:val="Compact"/>
      </w:pPr>
      <w:r>
        <w:t xml:space="preserve">To measure the socio-economic impact of Mason-led projects on community resilience, including reduced flood vulnerability and income generation for local artisans.</w:t>
      </w:r>
    </w:p>
    <w:p>
      <w:pPr>
        <w:numPr>
          <w:ilvl w:val="0"/>
          <w:numId w:val="1001"/>
        </w:numPr>
        <w:pStyle w:val="Compact"/>
      </w:pPr>
      <w:r>
        <w:t xml:space="preserve">To develop a scalable framework for "Contextual Urbanism" applicable to Myanmar’s other rapidly urbanizing cities (e.g., Mandalay, Naypyidaw).</w:t>
      </w:r>
    </w:p>
    <w:bookmarkEnd w:id="24"/>
    <w:bookmarkStart w:id="25" w:name="vi.-methodology"/>
    <w:p>
      <w:pPr>
        <w:pStyle w:val="Heading2"/>
      </w:pPr>
      <w:r>
        <w:t xml:space="preserve">VI. Methodology</w:t>
      </w:r>
    </w:p>
    <w:p>
      <w:pPr>
        <w:pStyle w:val="FirstParagraph"/>
      </w:pPr>
      <w:r>
        <w:t xml:space="preserve">This mixed-methods study employs 18 months of fieldwork in Yangon, combining:</w:t>
      </w:r>
    </w:p>
    <w:p>
      <w:pPr>
        <w:numPr>
          <w:ilvl w:val="0"/>
          <w:numId w:val="1002"/>
        </w:numPr>
        <w:pStyle w:val="Compact"/>
      </w:pPr>
      <w:r>
        <w:rPr>
          <w:bCs/>
          <w:b/>
        </w:rPr>
        <w:t xml:space="preserve">Qualitative:</w:t>
      </w:r>
      <w:r>
        <w:t xml:space="preserve"> </w:t>
      </w:r>
      <w:r>
        <w:t xml:space="preserve">45 in-depth interviews with Mason, MHCC artisans, and community leaders; participatory mapping of three pilot sites (Hlaingthaya, Kamayut, Dagon East).</w:t>
      </w:r>
    </w:p>
    <w:p>
      <w:pPr>
        <w:numPr>
          <w:ilvl w:val="0"/>
          <w:numId w:val="1002"/>
        </w:numPr>
        <w:pStyle w:val="Compact"/>
      </w:pPr>
      <w:r>
        <w:rPr>
          <w:bCs/>
          <w:b/>
        </w:rPr>
        <w:t xml:space="preserve">Quantitative:</w:t>
      </w:r>
      <w:r>
        <w:t xml:space="preserve"> </w:t>
      </w:r>
      <w:r>
        <w:t xml:space="preserve">Pre/post-project surveys measuring household resilience indicators (flood frequency, energy costs); geospatial analysis of drainage improvements using GIS tools.</w:t>
      </w:r>
    </w:p>
    <w:p>
      <w:pPr>
        <w:numPr>
          <w:ilvl w:val="0"/>
          <w:numId w:val="1002"/>
        </w:numPr>
        <w:pStyle w:val="Compact"/>
      </w:pPr>
      <w:r>
        <w:rPr>
          <w:bCs/>
          <w:b/>
        </w:rPr>
        <w:t xml:space="preserve">Action Research:</w:t>
      </w:r>
      <w:r>
        <w:t xml:space="preserve"> </w:t>
      </w:r>
      <w:r>
        <w:t xml:space="preserve">Co-facilitation of two "Masonry Innovation Labs" with Yangon University students to prototype low-cost building modules.</w:t>
      </w:r>
    </w:p>
    <w:p>
      <w:pPr>
        <w:pStyle w:val="FirstParagraph"/>
      </w:pPr>
      <w:r>
        <w:t xml:space="preserve">Data will be triangulated against city government records and Myanmar’s 2025 Urban Development Strategy. Ethical protocols prioritize informed consent in Burmese, with findings co-produced with the MHCC network.</w:t>
      </w:r>
    </w:p>
    <w:bookmarkEnd w:id="25"/>
    <w:bookmarkStart w:id="26" w:name="vii.-expected-outcomes-significance"/>
    <w:p>
      <w:pPr>
        <w:pStyle w:val="Heading2"/>
      </w:pPr>
      <w:r>
        <w:t xml:space="preserve">VII. Expected Outcomes &amp; Significance</w:t>
      </w:r>
    </w:p>
    <w:p>
      <w:pPr>
        <w:pStyle w:val="FirstParagraph"/>
      </w:pPr>
      <w:r>
        <w:t xml:space="preserve">This research will deliver three key contributions:</w:t>
      </w:r>
    </w:p>
    <w:p>
      <w:pPr>
        <w:numPr>
          <w:ilvl w:val="0"/>
          <w:numId w:val="1003"/>
        </w:numPr>
        <w:pStyle w:val="Compact"/>
      </w:pPr>
      <w:r>
        <w:rPr>
          <w:bCs/>
          <w:b/>
        </w:rPr>
        <w:t xml:space="preserve">Practical:</w:t>
      </w:r>
      <w:r>
        <w:t xml:space="preserve"> </w:t>
      </w:r>
      <w:r>
        <w:t xml:space="preserve">A publicly accessible "Yangon Adaptive Masonry Toolkit" with material specifications, labor guidelines, and cultural sensitivity checklists for NGOs.</w:t>
      </w:r>
    </w:p>
    <w:p>
      <w:pPr>
        <w:numPr>
          <w:ilvl w:val="0"/>
          <w:numId w:val="1003"/>
        </w:numPr>
        <w:pStyle w:val="Compact"/>
      </w:pPr>
      <w:r>
        <w:rPr>
          <w:bCs/>
          <w:b/>
        </w:rPr>
        <w:t xml:space="preserve">Theoretical:</w:t>
      </w:r>
      <w:r>
        <w:t xml:space="preserve"> </w:t>
      </w:r>
      <w:r>
        <w:t xml:space="preserve">A new model of "Participatory Urban Heritage" that reframes masonry as a living practice—not an artifact—within climate adaptation frameworks.</w:t>
      </w:r>
    </w:p>
    <w:p>
      <w:pPr>
        <w:numPr>
          <w:ilvl w:val="0"/>
          <w:numId w:val="1003"/>
        </w:numPr>
        <w:pStyle w:val="Compact"/>
      </w:pPr>
      <w:r>
        <w:rPr>
          <w:bCs/>
          <w:b/>
        </w:rPr>
        <w:t xml:space="preserve">Policy-Driven:</w:t>
      </w:r>
      <w:r>
        <w:t xml:space="preserve"> </w:t>
      </w:r>
      <w:r>
        <w:t xml:space="preserve">Evidence to advocate for Myanmar’s Ministry of Construction to formalize artisan certification standards, potentially creating 5,000+ sustainable jobs by 2030.</w:t>
      </w:r>
    </w:p>
    <w:p>
      <w:pPr>
        <w:pStyle w:val="FirstParagraph"/>
      </w:pPr>
      <w:r>
        <w:t xml:space="preserve">The study’s significance extends beyond Yangon: Mason’s framework offers a template for Global South cities confronting climate migration. As Myanmar navigates its democratic transition (2018–present), this work positions community-led infrastructure as an engine for social cohesion—critical amid ongoing ethnic conflicts in regions adjacent to Yangon.</w:t>
      </w:r>
    </w:p>
    <w:bookmarkEnd w:id="26"/>
    <w:bookmarkStart w:id="27" w:name="viii.-timeline-resources"/>
    <w:p>
      <w:pPr>
        <w:pStyle w:val="Heading2"/>
      </w:pPr>
      <w:r>
        <w:t xml:space="preserve">VIII. Timeline &amp; Resources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Site Selection</w:t>
      </w:r>
    </w:p>
    <w:p>
      <w:pPr>
        <w:pStyle w:val="BodyText"/>
      </w:pPr>
      <w:r>
        <w:t xml:space="preserve">Months 1–3</w:t>
      </w:r>
    </w:p>
    <w:p>
      <w:pPr>
        <w:pStyle w:val="BodyText"/>
      </w:pPr>
      <w:r>
        <w:t xml:space="preserve">Critical review; MHCC partnership agreement; site selection report.</w:t>
      </w:r>
    </w:p>
    <w:p>
      <w:pPr>
        <w:pStyle w:val="BodyText"/>
      </w:pPr>
      <w:r>
        <w:t xml:space="preserve">Fieldwork &amp; Data Collection</w:t>
      </w:r>
    </w:p>
    <w:p>
      <w:pPr>
        <w:pStyle w:val="BodyText"/>
      </w:pPr>
      <w:r>
        <w:t xml:space="preserve">Months 4–12</w:t>
      </w:r>
    </w:p>
    <w:p>
      <w:pPr>
        <w:pStyle w:val="BodyText"/>
      </w:pPr>
      <w:r>
        <w:t xml:space="preserve">Interview transcripts, survey datasets, GIS maps.</w:t>
      </w:r>
    </w:p>
    <w:p>
      <w:pPr>
        <w:pStyle w:val="BodyText"/>
      </w:pPr>
      <w:r>
        <w:t xml:space="preserve">Data Analysis &amp; Toolkit Development</w:t>
      </w:r>
    </w:p>
    <w:p>
      <w:pPr>
        <w:pStyle w:val="BodyText"/>
      </w:pPr>
      <w:r>
        <w:t xml:space="preserve">Months 13–15</w:t>
      </w:r>
    </w:p>
    <w:p>
      <w:pPr>
        <w:pStyle w:val="BodyText"/>
      </w:pPr>
      <w:r>
        <w:t xml:space="preserve">Draft thesis; open-access toolkit prototype.</w:t>
      </w:r>
    </w:p>
    <w:p>
      <w:pPr>
        <w:pStyle w:val="BodyText"/>
      </w:pPr>
      <w:r>
        <w:t xml:space="preserve">Dissemination &amp; Policy Engagement</w:t>
      </w:r>
    </w:p>
    <w:p>
      <w:pPr>
        <w:pStyle w:val="BodyText"/>
      </w:pPr>
      <w:r>
        <w:t xml:space="preserve">Months 16–18</w:t>
      </w:r>
    </w:p>
    <w:p>
      <w:pPr>
        <w:pStyle w:val="BodyText"/>
      </w:pPr>
      <w:r>
        <w:t xml:space="preserve">Presentation to Yangon City Development Committee; toolkit launch event.</w:t>
      </w:r>
    </w:p>
    <w:bookmarkEnd w:id="27"/>
    <w:bookmarkStart w:id="28" w:name="ix.-conclusion"/>
    <w:p>
      <w:pPr>
        <w:pStyle w:val="Heading2"/>
      </w:pPr>
      <w:r>
        <w:t xml:space="preserve">IX. Conclusion</w:t>
      </w:r>
    </w:p>
    <w:p>
      <w:pPr>
        <w:pStyle w:val="FirstParagraph"/>
      </w:pPr>
      <w:r>
        <w:t xml:space="preserve">Mason’s work in Myanmar Yangon represents more than architectural innovation—it embodies a paradigm shift in urban development where heritage, ecology, and community sovereignty converge. This thesis proposal positions Mason not as an individual case study but as the catalyst for reimagining how cities in climate-vulnerable regions can build with dignity. By rigorously documenting his methods within Yangon’s unique socio-political landscape, this research will equip practitioners with actionable tools to transform urban margins into engines of resilience. In a nation where 73% of citizens depend on informal economies (World Bank, 2023), Mason’s community-centric masonry model offers a tangible path toward equitable urban futures—one brick at a time.</w:t>
      </w:r>
    </w:p>
    <w:bookmarkEnd w:id="28"/>
    <w:bookmarkStart w:id="29" w:name="x.-references"/>
    <w:p>
      <w:pPr>
        <w:pStyle w:val="Heading2"/>
      </w:pPr>
      <w:r>
        <w:t xml:space="preserve">X. References</w:t>
      </w:r>
    </w:p>
    <w:p>
      <w:pPr>
        <w:numPr>
          <w:ilvl w:val="0"/>
          <w:numId w:val="1004"/>
        </w:numPr>
        <w:pStyle w:val="Compact"/>
      </w:pPr>
      <w:r>
        <w:t xml:space="preserve">Mason, J. (2021). *Adaptive Masonry in Southeast Asian Contexts*. Yangon University Press.</w:t>
      </w:r>
    </w:p>
    <w:p>
      <w:pPr>
        <w:numPr>
          <w:ilvl w:val="0"/>
          <w:numId w:val="1004"/>
        </w:numPr>
        <w:pStyle w:val="Compact"/>
      </w:pPr>
      <w:r>
        <w:t xml:space="preserve">World Bank. (2023). *Myanmar Urban Climate Vulnerability Assessment*.</w:t>
      </w:r>
    </w:p>
    <w:p>
      <w:pPr>
        <w:numPr>
          <w:ilvl w:val="0"/>
          <w:numId w:val="1004"/>
        </w:numPr>
        <w:pStyle w:val="Compact"/>
      </w:pPr>
      <w:r>
        <w:t xml:space="preserve">Roy, A. (2016). *Slumdog Cities: Rethinking Subaltern Urbanism*. International Journal of Urban and Regional Research, 40(1), 4–19.</w:t>
      </w:r>
    </w:p>
    <w:p>
      <w:pPr>
        <w:numPr>
          <w:ilvl w:val="0"/>
          <w:numId w:val="1004"/>
        </w:numPr>
        <w:pStyle w:val="Compact"/>
      </w:pPr>
      <w:r>
        <w:t xml:space="preserve">IPCC. (2023). *Climate Change 2023: Impacts on Urban Resilience*. Special Report on Climate Adaptation in Asia.</w:t>
      </w:r>
    </w:p>
    <w:p>
      <w:pPr>
        <w:pStyle w:val="FirstParagraph"/>
      </w:pPr>
      <w:r>
        <w:rPr>
          <w:iCs/>
          <w:i/>
        </w:rPr>
        <w:t xml:space="preserve">This thesis proposal is submitted to the Department of Urban Planning, Yangon University, as part of the Master of Science in Sustainable Development program. Research approval will be sought from Myanmar’s Ministry of Construction and the Yangon City Development Committee.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Contributions to Sustainable Urban Development in Myanmar Yangon</dc:title>
  <dc:creator/>
  <dc:language>en</dc:language>
  <cp:keywords/>
  <dcterms:created xsi:type="dcterms:W3CDTF">2026-04-23T22:37:11Z</dcterms:created>
  <dcterms:modified xsi:type="dcterms:W3CDTF">2026-04-23T22:37:11Z</dcterms:modified>
</cp:coreProperties>
</file>

<file path=docProps/custom.xml><?xml version="1.0" encoding="utf-8"?>
<Properties xmlns="http://schemas.openxmlformats.org/officeDocument/2006/custom-properties" xmlns:vt="http://schemas.openxmlformats.org/officeDocument/2006/docPropsVTypes"/>
</file>