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the</w:t>
      </w:r>
      <w:r>
        <w:t xml:space="preserve"> </w:t>
      </w:r>
      <w:r>
        <w:t xml:space="preserve">Brussels</w:t>
      </w:r>
      <w:r>
        <w:t xml:space="preserve"> </w:t>
      </w:r>
      <w:r>
        <w:t xml:space="preserve">Research</w:t>
      </w:r>
      <w:r>
        <w:t xml:space="preserve"> </w:t>
      </w:r>
      <w:r>
        <w:t xml:space="preserve">Ecosystem</w:t>
      </w:r>
    </w:p>
    <w:bookmarkStart w:id="29" w:name="Xeb676233f13787b6e5cc7e06e491e6c84378524"/>
    <w:p>
      <w:pPr>
        <w:pStyle w:val="Heading1"/>
      </w:pPr>
      <w:r>
        <w:t xml:space="preserve">Thesis Proposal: Advancing Mathematical Innovation in the Brussels Research Ecosystem</w:t>
      </w:r>
    </w:p>
    <w:bookmarkStart w:id="20" w:name="introduction-and-context"/>
    <w:p>
      <w:pPr>
        <w:pStyle w:val="Heading2"/>
      </w:pPr>
      <w:r>
        <w:t xml:space="preserve">Introduction and Context</w:t>
      </w:r>
    </w:p>
    <w:p>
      <w:pPr>
        <w:pStyle w:val="FirstParagraph"/>
      </w:pPr>
      <w:r>
        <w:t xml:space="preserve">The role of a mathematician has evolved dramatically within Belgium's academic landscape, particularly in Brussels—the political and intellectual heart of Europe. As the capital city hosting institutions like the European Commission, NATO headquarters, and prestigious universities including Université Libre de Bruxelles (ULB) and Vrije Universiteit Brussel (VUB), Brussels offers an unparalleled ecosystem for mathematical research with global implications. This thesis proposal outlines a comprehensive investigation into how contemporary mathematicians can leverage Belgium's unique position to drive interdisciplinary innovation. In an era where data science, cryptography, and computational modeling are reshaping policy-making and industry across the European Union, this research directly addresses the critical need for advanced mathematical frameworks tailored to Brussels' transnational environment.</w:t>
      </w:r>
    </w:p>
    <w:bookmarkEnd w:id="20"/>
    <w:bookmarkStart w:id="21" w:name="problem-statement"/>
    <w:p>
      <w:pPr>
        <w:pStyle w:val="Heading2"/>
      </w:pPr>
      <w:r>
        <w:t xml:space="preserve">Problem Statement</w:t>
      </w:r>
    </w:p>
    <w:p>
      <w:pPr>
        <w:pStyle w:val="FirstParagraph"/>
      </w:pPr>
      <w:r>
        <w:t xml:space="preserve">Despite Belgium's strong tradition in mathematics dating back to luminaries like Eugène Charles Catalan, a significant gap persists between theoretical mathematical research and its practical application within Brussels' policy-driven institutions. Current mathematical curricula at Belgian universities often fail to integrate emerging challenges such as AI ethics governance, sustainable urban planning models, or pandemic response algorithms—issues where the city's role as a European decision-making hub creates urgent demand. This disconnect limits the impact of local mathematicians and hinders Belgium's potential to become a leader in math-informed policy design. The central problem this thesis addresses is:</w:t>
      </w:r>
      <w:r>
        <w:t xml:space="preserve"> </w:t>
      </w:r>
      <w:r>
        <w:rPr>
          <w:iCs/>
          <w:i/>
        </w:rPr>
        <w:t xml:space="preserve">How can the Belgian academic system, particularly in Brussels, reorient mathematical research toward solving transnational challenges while maintaining theoretical rigor?</w:t>
      </w:r>
    </w:p>
    <w:bookmarkEnd w:id="21"/>
    <w:bookmarkStart w:id="22" w:name="literature-review"/>
    <w:p>
      <w:pPr>
        <w:pStyle w:val="Heading2"/>
      </w:pPr>
      <w:r>
        <w:t xml:space="preserve">Literature Review</w:t>
      </w:r>
    </w:p>
    <w:p>
      <w:pPr>
        <w:pStyle w:val="FirstParagraph"/>
      </w:pPr>
      <w:r>
        <w:t xml:space="preserve">Existing scholarship on mathematical education (e.g., Gowers, 2006) emphasizes pedagogical gaps but overlooks Brussels' unique geopolitical context. Meanwhile, EU policy studies (e.g., Borrás &amp; Radaelli, 2019) analyze institutional frameworks without integrating mathematical inputs. Crucially, no research examines the</w:t>
      </w:r>
      <w:r>
        <w:t xml:space="preserve"> </w:t>
      </w:r>
      <w:r>
        <w:rPr>
          <w:iCs/>
          <w:i/>
        </w:rPr>
        <w:t xml:space="preserve">praxis</w:t>
      </w:r>
      <w:r>
        <w:t xml:space="preserve"> </w:t>
      </w:r>
      <w:r>
        <w:t xml:space="preserve">of mathematicians operating within a city that hosts both European governance bodies and elite research centers like the International Center for Theoretical Physics (ICTP) in nearby Trieste (which maintains strong Brussels ties). This thesis bridges these gaps by focusing on Brussels as a living laboratory where theoretical mathematics interfaces with real-time policy challenges.</w:t>
      </w:r>
    </w:p>
    <w:bookmarkEnd w:id="22"/>
    <w:bookmarkStart w:id="23" w:name="research-objectives"/>
    <w:p>
      <w:pPr>
        <w:pStyle w:val="Heading2"/>
      </w:pPr>
      <w:r>
        <w:t xml:space="preserve">Research Objectives</w:t>
      </w:r>
    </w:p>
    <w:p>
      <w:pPr>
        <w:numPr>
          <w:ilvl w:val="0"/>
          <w:numId w:val="1001"/>
        </w:numPr>
        <w:pStyle w:val="Compact"/>
      </w:pPr>
      <w:r>
        <w:rPr>
          <w:bCs/>
          <w:b/>
        </w:rPr>
        <w:t xml:space="preserve">Map the Belgian Mathematical Landscape:</w:t>
      </w:r>
      <w:r>
        <w:t xml:space="preserve"> </w:t>
      </w:r>
      <w:r>
        <w:t xml:space="preserve">Conduct a comprehensive survey of mathematicians at ULB, VUB, and KU Leuven's Brussels campus to identify current research priorities versus EU policy needs.</w:t>
      </w:r>
    </w:p>
    <w:p>
      <w:pPr>
        <w:numPr>
          <w:ilvl w:val="0"/>
          <w:numId w:val="1001"/>
        </w:numPr>
        <w:pStyle w:val="Compact"/>
      </w:pPr>
      <w:r>
        <w:rPr>
          <w:bCs/>
          <w:b/>
        </w:rPr>
        <w:t xml:space="preserve">Develop Applied Frameworks:</w:t>
      </w:r>
      <w:r>
        <w:t xml:space="preserve"> </w:t>
      </w:r>
      <w:r>
        <w:t xml:space="preserve">Design novel mathematical models for two Brussels-specific challenges: (a) optimizing cross-border data flows under GDPR-compliant AI systems; (b) predicting pandemic resilience in dense urban environments using network theory.</w:t>
      </w:r>
    </w:p>
    <w:p>
      <w:pPr>
        <w:numPr>
          <w:ilvl w:val="0"/>
          <w:numId w:val="1001"/>
        </w:numPr>
        <w:pStyle w:val="Compact"/>
      </w:pPr>
      <w:r>
        <w:rPr>
          <w:bCs/>
          <w:b/>
        </w:rPr>
        <w:t xml:space="preserve">Evaluate Institutional Impact:</w:t>
      </w:r>
      <w:r>
        <w:t xml:space="preserve"> </w:t>
      </w:r>
      <w:r>
        <w:t xml:space="preserve">Assess how mathematicians at the Université Libre de Bruxelles influence EU Commission working groups on digital governance through case studies of past collaborations.</w:t>
      </w:r>
    </w:p>
    <w:bookmarkEnd w:id="23"/>
    <w:bookmarkStart w:id="24" w:name="methodology"/>
    <w:p>
      <w:pPr>
        <w:pStyle w:val="Heading2"/>
      </w:pPr>
      <w:r>
        <w:t xml:space="preserve">Methodology</w:t>
      </w:r>
    </w:p>
    <w:p>
      <w:pPr>
        <w:pStyle w:val="FirstParagraph"/>
      </w:pPr>
      <w:r>
        <w:t xml:space="preserve">This interdisciplinary thesis employs a mixed-methods approach centered in Belgium Brussels:</w:t>
      </w:r>
    </w:p>
    <w:p>
      <w:pPr>
        <w:numPr>
          <w:ilvl w:val="0"/>
          <w:numId w:val="1002"/>
        </w:numPr>
        <w:pStyle w:val="Compact"/>
      </w:pPr>
      <w:r>
        <w:rPr>
          <w:bCs/>
          <w:b/>
        </w:rPr>
        <w:t xml:space="preserve">Qualitative Phase (Months 1-6):</w:t>
      </w:r>
      <w:r>
        <w:t xml:space="preserve"> </w:t>
      </w:r>
      <w:r>
        <w:t xml:space="preserve">In-depth interviews with 30+ mathematicians and policymakers at institutions like the European Data Protection Board and CERN's Brussels liaison office. This will document existing collaboration barriers.</w:t>
      </w:r>
    </w:p>
    <w:p>
      <w:pPr>
        <w:numPr>
          <w:ilvl w:val="0"/>
          <w:numId w:val="1002"/>
        </w:numPr>
        <w:pStyle w:val="Compact"/>
      </w:pPr>
      <w:r>
        <w:rPr>
          <w:bCs/>
          <w:b/>
        </w:rPr>
        <w:t xml:space="preserve">Quantitative Phase (Months 7-12):</w:t>
      </w:r>
      <w:r>
        <w:t xml:space="preserve"> </w:t>
      </w:r>
      <w:r>
        <w:t xml:space="preserve">Development and simulation of mathematical models using Brussels-specific datasets from the City of Brussels' Open Data Portal (e.g., mobility patterns, energy consumption). Validation will occur through workshops with the Belgian Federal Agency for Medicines.</w:t>
      </w:r>
    </w:p>
    <w:p>
      <w:pPr>
        <w:numPr>
          <w:ilvl w:val="0"/>
          <w:numId w:val="1002"/>
        </w:numPr>
        <w:pStyle w:val="Compact"/>
      </w:pPr>
      <w:r>
        <w:rPr>
          <w:bCs/>
          <w:b/>
        </w:rPr>
        <w:t xml:space="preserve">Policy Integration Phase (Months 13-18):</w:t>
      </w:r>
      <w:r>
        <w:t xml:space="preserve"> </w:t>
      </w:r>
      <w:r>
        <w:t xml:space="preserve">Co-design of a "Mathematical Policy Toolkit" with the European Commission's Joint Research Centre (JRC) in Ispra, leveraging Brussels' proximity to EU institutions for real-world testing.</w:t>
      </w:r>
    </w:p>
    <w:bookmarkEnd w:id="24"/>
    <w:bookmarkStart w:id="25" w:name="significance-and-expected-contributions"/>
    <w:p>
      <w:pPr>
        <w:pStyle w:val="Heading2"/>
      </w:pPr>
      <w:r>
        <w:t xml:space="preserve">Significance and Expected Contributions</w:t>
      </w:r>
    </w:p>
    <w:p>
      <w:pPr>
        <w:pStyle w:val="FirstParagraph"/>
      </w:pPr>
      <w:r>
        <w:t xml:space="preserve">This research will deliver three transformative contributions:</w:t>
      </w:r>
    </w:p>
    <w:p>
      <w:pPr>
        <w:numPr>
          <w:ilvl w:val="0"/>
          <w:numId w:val="1003"/>
        </w:numPr>
        <w:pStyle w:val="Compact"/>
      </w:pPr>
      <w:r>
        <w:rPr>
          <w:bCs/>
          <w:b/>
        </w:rPr>
        <w:t xml:space="preserve">For the Belgian Mathematician:</w:t>
      </w:r>
      <w:r>
        <w:t xml:space="preserve"> </w:t>
      </w:r>
      <w:r>
        <w:t xml:space="preserve">It redefines the modern mathematician's role beyond academia into policy co-creation—positioning Brussels as a global hub where mathematical expertise directly shapes EU regulations. This addresses Belgium's strategic goal of becoming an "EU innovation capital."</w:t>
      </w:r>
    </w:p>
    <w:p>
      <w:pPr>
        <w:numPr>
          <w:ilvl w:val="0"/>
          <w:numId w:val="1003"/>
        </w:numPr>
        <w:pStyle w:val="Compact"/>
      </w:pPr>
      <w:r>
        <w:rPr>
          <w:bCs/>
          <w:b/>
        </w:rPr>
        <w:t xml:space="preserve">For European Governance:</w:t>
      </w:r>
      <w:r>
        <w:t xml:space="preserve"> </w:t>
      </w:r>
      <w:r>
        <w:t xml:space="preserve">The developed frameworks will provide actionable tools for EU institutions to integrate rigorous mathematics into digital sovereignty and climate initiatives, moving beyond theoretical policy papers.</w:t>
      </w:r>
    </w:p>
    <w:p>
      <w:pPr>
        <w:numPr>
          <w:ilvl w:val="0"/>
          <w:numId w:val="1003"/>
        </w:numPr>
        <w:pStyle w:val="Compact"/>
      </w:pPr>
      <w:r>
        <w:rPr>
          <w:bCs/>
          <w:b/>
        </w:rPr>
        <w:t xml:space="preserve">For Brussels' Academic Ecosystem:</w:t>
      </w:r>
      <w:r>
        <w:t xml:space="preserve"> </w:t>
      </w:r>
      <w:r>
        <w:t xml:space="preserve">A proposed "Brussels Mathematical Policy Fellowship" program at ULB/VUB will institutionalize the thesis's findings, creating a pipeline for future mathematicians to engage with transnational challenges.</w:t>
      </w:r>
    </w:p>
    <w:bookmarkEnd w:id="25"/>
    <w:bookmarkStart w:id="26" w:name="timeline-and-work-plan"/>
    <w:p>
      <w:pPr>
        <w:pStyle w:val="Heading2"/>
      </w:pPr>
      <w:r>
        <w:t xml:space="preserve">Timeline and Work Plan</w:t>
      </w:r>
    </w:p>
    <w:p>
      <w:pPr>
        <w:pStyle w:val="FirstParagraph"/>
      </w:pPr>
      <w:r>
        <w:t xml:space="preserve">The 18-month research schedule is meticulously aligned with Brussels' academic calendar and EU policy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1-3: Foundation Building</w:t>
            </w:r>
          </w:p>
        </w:tc>
        <w:tc>
          <w:tcPr/>
          <w:p>
            <w:pPr>
              <w:pStyle w:val="Compact"/>
              <w:jc w:val="left"/>
            </w:pPr>
            <w:r>
              <w:t xml:space="preserve">Literature review; stakeholder mapping with ULB Mathematics Department; ethics approval from VUB Research Ethics Board.</w:t>
            </w:r>
          </w:p>
        </w:tc>
        <w:tc>
          <w:tcPr/>
          <w:p>
            <w:pPr>
              <w:pStyle w:val="Compact"/>
              <w:jc w:val="left"/>
            </w:pPr>
            <w:r>
              <w:t xml:space="preserve">Stakeholder map, research protocol, ethics clearance.</w:t>
            </w:r>
          </w:p>
        </w:tc>
      </w:tr>
      <w:tr>
        <w:tc>
          <w:tcPr/>
          <w:p>
            <w:pPr>
              <w:pStyle w:val="Compact"/>
              <w:jc w:val="left"/>
            </w:pPr>
            <w:r>
              <w:t xml:space="preserve">Months 4-9: Data Collection</w:t>
            </w:r>
          </w:p>
        </w:tc>
        <w:tc>
          <w:tcPr/>
          <w:p>
            <w:pPr>
              <w:pStyle w:val="Compact"/>
              <w:jc w:val="left"/>
            </w:pPr>
            <w:r>
              <w:t xml:space="preserve">Interviews with EU policymakers; dataset acquisition from Brussels municipality; model drafting at ICTP's Brussels satellite office.</w:t>
            </w:r>
          </w:p>
        </w:tc>
        <w:tc>
          <w:tcPr/>
          <w:p>
            <w:pPr>
              <w:pStyle w:val="Compact"/>
              <w:jc w:val="left"/>
            </w:pPr>
            <w:r>
              <w:t xml:space="preserve">Policy gap analysis report, preliminary models.</w:t>
            </w:r>
          </w:p>
        </w:tc>
      </w:tr>
      <w:tr>
        <w:tc>
          <w:tcPr/>
          <w:p>
            <w:pPr>
              <w:pStyle w:val="Compact"/>
              <w:jc w:val="left"/>
            </w:pPr>
            <w:r>
              <w:t xml:space="preserve">Months 10-15: Model Development</w:t>
            </w:r>
          </w:p>
        </w:tc>
        <w:tc>
          <w:tcPr/>
          <w:p>
            <w:pPr>
              <w:pStyle w:val="Compact"/>
              <w:jc w:val="left"/>
            </w:pPr>
            <w:r>
              <w:t xml:space="preserve">Simulation testing at VUB's High-Performance Computing Center; validation workshops with Federal Public Service Health.</w:t>
            </w:r>
          </w:p>
        </w:tc>
        <w:tc>
          <w:tcPr/>
          <w:p>
            <w:pPr>
              <w:pStyle w:val="Compact"/>
              <w:jc w:val="left"/>
            </w:pPr>
            <w:r>
              <w:t xml:space="preserve">Validated mathematical frameworks, toolkit prototype.</w:t>
            </w:r>
          </w:p>
        </w:tc>
      </w:tr>
      <w:tr>
        <w:tc>
          <w:tcPr/>
          <w:p>
            <w:pPr>
              <w:pStyle w:val="Compact"/>
              <w:jc w:val="left"/>
            </w:pPr>
            <w:r>
              <w:t xml:space="preserve">Months 16-18: Integration and Dissemination</w:t>
            </w:r>
          </w:p>
        </w:tc>
        <w:tc>
          <w:tcPr/>
          <w:p>
            <w:pPr>
              <w:pStyle w:val="Compact"/>
              <w:jc w:val="left"/>
            </w:pPr>
            <w:r>
              <w:t xml:space="preserve">Policy workshop with European Commission; draft of fellowship program proposal; thesis finalization.</w:t>
            </w:r>
          </w:p>
        </w:tc>
        <w:tc>
          <w:tcPr/>
          <w:p>
            <w:pPr>
              <w:pStyle w:val="Compact"/>
              <w:jc w:val="left"/>
            </w:pPr>
            <w:r>
              <w:t xml:space="preserve">Fellowship framework document, policy brief for EU DG CONNECT, completed thesis.</w:t>
            </w:r>
          </w:p>
        </w:tc>
      </w:tr>
    </w:tbl>
    <w:bookmarkEnd w:id="26"/>
    <w:bookmarkStart w:id="27" w:name="Xd52418f38095ec226ae226de2abc01d97c15ff1"/>
    <w:p>
      <w:pPr>
        <w:pStyle w:val="Heading2"/>
      </w:pPr>
      <w:r>
        <w:t xml:space="preserve">Conclusion: The Mathematician as European Catalyst</w:t>
      </w:r>
    </w:p>
    <w:p>
      <w:pPr>
        <w:pStyle w:val="FirstParagraph"/>
      </w:pPr>
      <w:r>
        <w:t xml:space="preserve">This Thesis Proposal positions the mathematician not as a solitary theorist but as an indispensable catalyst within Belgium Brussels' unique transnational ecosystem. By embedding mathematical innovation directly into the city's policy corridors—from the EU Commission's digital strategy to municipal climate action plans—the research will demonstrate how Belgian institutions can harness their geopolitical advantage. In doing so, it responds to the European Commission's 2023 call for "mathematical excellence in public service" and aligns with Belgium’s national strategy for scientific leadership. Crucially, this work transcends local relevance: it establishes a replicable model where mathematicians in Brussels actively co-shape Europe's future, proving that the city's identity as a political nexus is equally vital to its status as an intellectual capital. For the candidate, this thesis represents not merely academic achievement but the first step toward embedding mathematical rigor into the very architecture of European governance—a legacy uniquely possible within Belgium Brussels.</w:t>
      </w:r>
    </w:p>
    <w:bookmarkEnd w:id="27"/>
    <w:bookmarkStart w:id="28" w:name="references-selected"/>
    <w:p>
      <w:pPr>
        <w:pStyle w:val="Heading2"/>
      </w:pPr>
      <w:r>
        <w:t xml:space="preserve">References (Selected)</w:t>
      </w:r>
    </w:p>
    <w:p>
      <w:pPr>
        <w:numPr>
          <w:ilvl w:val="0"/>
          <w:numId w:val="1004"/>
        </w:numPr>
        <w:pStyle w:val="Compact"/>
      </w:pPr>
      <w:r>
        <w:t xml:space="preserve">Borrás, S., &amp; Radaelli, C. M. (2019). *The EU as a Policy Leader*. Palgrave Macmillan.</w:t>
      </w:r>
    </w:p>
    <w:p>
      <w:pPr>
        <w:numPr>
          <w:ilvl w:val="0"/>
          <w:numId w:val="1004"/>
        </w:numPr>
        <w:pStyle w:val="Compact"/>
      </w:pPr>
      <w:r>
        <w:t xml:space="preserve">Gowers, T. (2006). *Mathematics: A Very Short Introduction*. Oxford University Press.</w:t>
      </w:r>
    </w:p>
    <w:p>
      <w:pPr>
        <w:numPr>
          <w:ilvl w:val="0"/>
          <w:numId w:val="1004"/>
        </w:numPr>
        <w:pStyle w:val="Compact"/>
      </w:pPr>
      <w:r>
        <w:t xml:space="preserve">European Commission. (2023). *Digital Europe Programme 2021-2027: Strategic Priorities*.</w:t>
      </w:r>
    </w:p>
    <w:p>
      <w:pPr>
        <w:numPr>
          <w:ilvl w:val="0"/>
          <w:numId w:val="1004"/>
        </w:numPr>
        <w:pStyle w:val="Compact"/>
      </w:pPr>
      <w:r>
        <w:t xml:space="preserve">Université Libre de Bruxelles. (2023). *Mathematics Research Strategy Report*. ULB Press.</w:t>
      </w:r>
    </w:p>
    <w:p>
      <w:pPr>
        <w:pStyle w:val="FirstParagraph"/>
      </w:pPr>
      <w:r>
        <w:rPr>
          <w:iCs/>
          <w:i/>
        </w:rPr>
        <w:t xml:space="preserve">This proposal is submitted for approval by the Board of Graduate Studies at Université Libre de Bruxelles, in alignment with Belgium's national research strategy and Brussels' commitment to European innovation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the Brussels Research Ecosystem</dc:title>
  <dc:creator/>
  <dc:language>en</dc:language>
  <cp:keywords/>
  <dcterms:created xsi:type="dcterms:W3CDTF">2026-04-25T06:57:18Z</dcterms:created>
  <dcterms:modified xsi:type="dcterms:W3CDTF">2026-04-25T06:57:18Z</dcterms:modified>
</cp:coreProperties>
</file>

<file path=docProps/custom.xml><?xml version="1.0" encoding="utf-8"?>
<Properties xmlns="http://schemas.openxmlformats.org/officeDocument/2006/custom-properties" xmlns:vt="http://schemas.openxmlformats.org/officeDocument/2006/docPropsVTypes"/>
</file>