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China</w:t>
      </w:r>
      <w:r>
        <w:t xml:space="preserve"> </w:t>
      </w:r>
      <w:r>
        <w:t xml:space="preserve">Guangzhou</w:t>
      </w:r>
    </w:p>
    <w:bookmarkStart w:id="30" w:name="X1165c64f73c9aa1948f9d9f0cba75433b827b19"/>
    <w:p>
      <w:pPr>
        <w:pStyle w:val="Heading1"/>
      </w:pPr>
      <w:r>
        <w:t xml:space="preserve">Thesis Proposal: Advancing Mathematical Research and Educational Excellence in China Guangzhou</w:t>
      </w:r>
    </w:p>
    <w:bookmarkStart w:id="20" w:name="introduction"/>
    <w:p>
      <w:pPr>
        <w:pStyle w:val="Heading2"/>
      </w:pPr>
      <w:r>
        <w:t xml:space="preserve">Introduction</w:t>
      </w:r>
    </w:p>
    <w:p>
      <w:pPr>
        <w:pStyle w:val="FirstParagraph"/>
      </w:pPr>
      <w:r>
        <w:t xml:space="preserve">This Thesis Proposal outlines a comprehensive research initiative dedicated to strengthening mathematical innovation within the dynamic academic ecosystem of China Guangzhou. As one of Asia's most vibrant metropolises and a strategic hub for education and technology, Guangzhou presents an unparalleled opportunity to elevate the role of the Mathematician in addressing 21st-century scientific challenges. This proposal responds to China's national priority for foundational scientific research while positioning Guangzhou as a global leader in mathematical sciences. The core objective is to establish an interdisciplinary research framework where theoretical mathematics converges with technological application, directly benefiting Guangzhou's economic development and educational landscape.</w:t>
      </w:r>
    </w:p>
    <w:bookmarkEnd w:id="20"/>
    <w:bookmarkStart w:id="21" w:name="problem-statement"/>
    <w:p>
      <w:pPr>
        <w:pStyle w:val="Heading2"/>
      </w:pPr>
      <w:r>
        <w:t xml:space="preserve">Problem Statement</w:t>
      </w:r>
    </w:p>
    <w:p>
      <w:pPr>
        <w:pStyle w:val="FirstParagraph"/>
      </w:pPr>
      <w:r>
        <w:t xml:space="preserve">Despite China's remarkable progress in STEM fields, a critical gap persists between advanced mathematical theory and practical implementation in regional innovation centers like Guangzhou. While the city hosts prestigious institutions such as Sun Yat-sen University and South China Normal University, the integration of cutting-edge mathematical research into industry solutions remains underdeveloped. This disconnect limits Guangzhou's ability to leverage its growing tech sector—particularly in artificial intelligence, smart manufacturing, and financial technology—where a skilled Mathematician is indispensable. Furthermore, the scarcity of locally trained mathematicians equipped for cross-disciplinary collaboration hinders sustainable innovation within China Guangzhou's ecosystem.</w:t>
      </w:r>
    </w:p>
    <w:bookmarkEnd w:id="21"/>
    <w:bookmarkStart w:id="22" w:name="literature-review"/>
    <w:p>
      <w:pPr>
        <w:pStyle w:val="Heading2"/>
      </w:pPr>
      <w:r>
        <w:t xml:space="preserve">Literature Review</w:t>
      </w:r>
    </w:p>
    <w:p>
      <w:pPr>
        <w:pStyle w:val="FirstParagraph"/>
      </w:pPr>
      <w:r>
        <w:t xml:space="preserve">Global studies (e.g., UNESCO reports on STEM education, 2021) consistently identify strong institutional support and industry-academia partnerships as catalysts for mathematical advancement. In East Asia, Japan's "Mathematical Science Initiative" and South Korea's National Research Foundation model have demonstrated success through dedicated funding streams. However, no comparable framework exists within China Guangzhou that specifically targets the Mathematician as the central agent of innovation in regional industrial contexts. Recent publications in *Journal of Guangzhou University* (2023) highlight a 40% gap between mathematical research outputs and industry adoption rates in southern China, underscoring the urgency for this Thesis Proposal.</w:t>
      </w:r>
    </w:p>
    <w:bookmarkEnd w:id="22"/>
    <w:bookmarkStart w:id="23" w:name="research-objectives"/>
    <w:p>
      <w:pPr>
        <w:pStyle w:val="Heading2"/>
      </w:pPr>
      <w:r>
        <w:t xml:space="preserve">Research Objectives</w:t>
      </w:r>
    </w:p>
    <w:p>
      <w:pPr>
        <w:numPr>
          <w:ilvl w:val="0"/>
          <w:numId w:val="1001"/>
        </w:numPr>
        <w:pStyle w:val="Compact"/>
      </w:pPr>
      <w:r>
        <w:t xml:space="preserve">To develop a scalable curriculum for training Mathematicians specializing in applied computational mathematics, tailored to Guangzhou's industrial needs.</w:t>
      </w:r>
    </w:p>
    <w:p>
      <w:pPr>
        <w:numPr>
          <w:ilvl w:val="0"/>
          <w:numId w:val="1001"/>
        </w:numPr>
        <w:pStyle w:val="Compact"/>
      </w:pPr>
      <w:r>
        <w:t xml:space="preserve">To establish a collaborative research hub connecting mathematicians at Guangzhou institutions with local tech enterprises like Tencent (Guangzhou R&amp;D Center) and Huawei's Southern Innovation Hub.</w:t>
      </w:r>
    </w:p>
    <w:p>
      <w:pPr>
        <w:numPr>
          <w:ilvl w:val="0"/>
          <w:numId w:val="1001"/>
        </w:numPr>
        <w:pStyle w:val="Compact"/>
      </w:pPr>
      <w:r>
        <w:t xml:space="preserve">To create open-source mathematical frameworks addressing regional challenges in urban sustainability, logistics optimization, and AI ethics—directly benefiting China Guangzhou's smart city initiatives.</w:t>
      </w:r>
    </w:p>
    <w:p>
      <w:pPr>
        <w:numPr>
          <w:ilvl w:val="0"/>
          <w:numId w:val="1001"/>
        </w:numPr>
        <w:pStyle w:val="Compact"/>
      </w:pPr>
      <w:r>
        <w:t xml:space="preserve">To publish 15+ high-impact papers in Q1 journals within three years, positioning Guangzhou as a mathematical innovation epicenter.</w:t>
      </w:r>
    </w:p>
    <w:bookmarkEnd w:id="23"/>
    <w:bookmarkStart w:id="24" w:name="methodology"/>
    <w:p>
      <w:pPr>
        <w:pStyle w:val="Heading2"/>
      </w:pPr>
      <w:r>
        <w:t xml:space="preserve">Methodology</w:t>
      </w:r>
    </w:p>
    <w:p>
      <w:pPr>
        <w:pStyle w:val="FirstParagraph"/>
      </w:pPr>
      <w:r>
        <w:t xml:space="preserve">This Thesis Proposal employs a mixed-methods approach spanning five phases:</w:t>
      </w:r>
    </w:p>
    <w:p>
      <w:pPr>
        <w:numPr>
          <w:ilvl w:val="0"/>
          <w:numId w:val="1002"/>
        </w:numPr>
        <w:pStyle w:val="Compact"/>
      </w:pPr>
      <w:r>
        <w:rPr>
          <w:bCs/>
          <w:b/>
        </w:rPr>
        <w:t xml:space="preserve">Phase 1 (Months 1-6):</w:t>
      </w:r>
      <w:r>
        <w:t xml:space="preserve"> </w:t>
      </w:r>
      <w:r>
        <w:t xml:space="preserve">Needs assessment through workshops with Guangzhou's Department of Science and Technology, tech firms, and universities to identify priority mathematical applications.</w:t>
      </w:r>
    </w:p>
    <w:p>
      <w:pPr>
        <w:numPr>
          <w:ilvl w:val="0"/>
          <w:numId w:val="1002"/>
        </w:numPr>
        <w:pStyle w:val="Compact"/>
      </w:pPr>
      <w:r>
        <w:rPr>
          <w:bCs/>
          <w:b/>
        </w:rPr>
        <w:t xml:space="preserve">Phase 2 (Months 7-18):</w:t>
      </w:r>
      <w:r>
        <w:t xml:space="preserve"> </w:t>
      </w:r>
      <w:r>
        <w:t xml:space="preserve">Development of modular courses at Guangzhou University of Chinese Medicine and South China University of Technology, incorporating industry case studies. A dedicated "Mathematician-in-Residence" program will pair academics with corporate R&amp;D teams.</w:t>
      </w:r>
    </w:p>
    <w:p>
      <w:pPr>
        <w:numPr>
          <w:ilvl w:val="0"/>
          <w:numId w:val="1002"/>
        </w:numPr>
        <w:pStyle w:val="Compact"/>
      </w:pPr>
      <w:r>
        <w:rPr>
          <w:bCs/>
          <w:b/>
        </w:rPr>
        <w:t xml:space="preserve">Phase 3 (Months 19-30):</w:t>
      </w:r>
      <w:r>
        <w:t xml:space="preserve"> </w:t>
      </w:r>
      <w:r>
        <w:t xml:space="preserve">Pilot implementation in Guangzhou's Nansha Economic Zone, testing mathematical models for traffic flow optimization and green energy grids.</w:t>
      </w:r>
    </w:p>
    <w:p>
      <w:pPr>
        <w:numPr>
          <w:ilvl w:val="0"/>
          <w:numId w:val="1002"/>
        </w:numPr>
        <w:pStyle w:val="Compact"/>
      </w:pPr>
      <w:r>
        <w:rPr>
          <w:bCs/>
          <w:b/>
        </w:rPr>
        <w:t xml:space="preserve">Phase 4 (Months 31-42):</w:t>
      </w:r>
      <w:r>
        <w:t xml:space="preserve"> </w:t>
      </w:r>
      <w:r>
        <w:t xml:space="preserve">Impact assessment via metrics including patent applications, industry adoption rates, and graduate employability in high-tech sectors.</w:t>
      </w:r>
    </w:p>
    <w:p>
      <w:pPr>
        <w:numPr>
          <w:ilvl w:val="0"/>
          <w:numId w:val="1002"/>
        </w:numPr>
        <w:pStyle w:val="Compact"/>
      </w:pPr>
      <w:r>
        <w:rPr>
          <w:bCs/>
          <w:b/>
        </w:rPr>
        <w:t xml:space="preserve">Phase 5 (Months 43-60):</w:t>
      </w:r>
      <w:r>
        <w:t xml:space="preserve"> </w:t>
      </w:r>
      <w:r>
        <w:t xml:space="preserve">Scaling the model across Guangdong Province through provincial government partnerships, with a focus on rural-urban mathematical equity.</w:t>
      </w:r>
    </w:p>
    <w:bookmarkEnd w:id="24"/>
    <w:bookmarkStart w:id="25" w:name="expected-outcomes"/>
    <w:p>
      <w:pPr>
        <w:pStyle w:val="Heading2"/>
      </w:pPr>
      <w:r>
        <w:t xml:space="preserve">Expected Outcomes</w:t>
      </w:r>
    </w:p>
    <w:p>
      <w:pPr>
        <w:pStyle w:val="FirstParagraph"/>
      </w:pPr>
      <w:r>
        <w:t xml:space="preserve">This Thesis Proposal anticipates transformative outcomes for China Guangzhou's academic and economic trajectory. The most significant contribution will be the establishment of a replicable "Mathematician-Industry Symbiosis Framework," where theoretical research directly fuels innovation. We project a 35% increase in mathematical research partnerships between Guangzhou institutions and corporations within five years, alongside the creation of 200+ specialized Mathematician roles annually in strategic sectors. Crucially, this Thesis Proposal will position China Guangzhou as the premier destination for mathematical talent in Southeast Asia—aligning with national "Belt and Road" initiatives that prioritize STEM capacity building.</w:t>
      </w:r>
    </w:p>
    <w:bookmarkEnd w:id="25"/>
    <w:bookmarkStart w:id="26" w:name="significance"/>
    <w:p>
      <w:pPr>
        <w:pStyle w:val="Heading2"/>
      </w:pPr>
      <w:r>
        <w:t xml:space="preserve">Significance</w:t>
      </w:r>
    </w:p>
    <w:p>
      <w:pPr>
        <w:pStyle w:val="FirstParagraph"/>
      </w:pPr>
      <w:r>
        <w:t xml:space="preserve">The significance of this Thesis Proposal extends beyond academia. For China, it advances the nation's strategic goal of technological self-reliance by cultivating indigenous mathematical expertise rather than relying on foreign talent. Within China Guangzhou, this research directly supports the "Guangzhou 2035 Smart City Plan," where advanced mathematics underpins everything from AI-driven healthcare systems to carbon-neutral urban planning. For the global community, our open-source frameworks for sustainable infrastructure will provide transferable models for megacities worldwide. Most importantly, this Thesis Proposal redefines the Mathematician's role—from a theoretical scholar to an industry catalyst—thereby elevating the profession's societal value in China Guangzhou and beyond.</w:t>
      </w:r>
    </w:p>
    <w:bookmarkEnd w:id="26"/>
    <w:bookmarkStart w:id="27" w:name="timeline-budget-overview"/>
    <w:p>
      <w:pPr>
        <w:pStyle w:val="Heading2"/>
      </w:pPr>
      <w:r>
        <w:t xml:space="preserve">Timeline &amp; Budget Overview</w:t>
      </w:r>
    </w:p>
    <w:p>
      <w:pPr>
        <w:pStyle w:val="FirstParagraph"/>
      </w:pPr>
      <w:r>
        <w:t xml:space="preserve">The research will commence January 2025 at Sun Yat-sen University (Guangzhou), with a total budget of RMB 8.5 million over five years. Funding sources include the Guangdong Provincial Natural Science Foundation (45%), National Key R&amp;D Program (30%), and industry co-investment (25%). Key milestones include:</w:t>
      </w:r>
    </w:p>
    <w:p>
      <w:pPr>
        <w:numPr>
          <w:ilvl w:val="0"/>
          <w:numId w:val="1003"/>
        </w:numPr>
        <w:pStyle w:val="Compact"/>
      </w:pPr>
      <w:r>
        <w:t xml:space="preserve">Q1 2026: Launch of Mathematician Training Consortium</w:t>
      </w:r>
    </w:p>
    <w:p>
      <w:pPr>
        <w:numPr>
          <w:ilvl w:val="0"/>
          <w:numId w:val="1003"/>
        </w:numPr>
        <w:pStyle w:val="Compact"/>
      </w:pPr>
      <w:r>
        <w:t xml:space="preserve">Q3 2027: First industry-validated mathematical toolkit deployed in Guangzhou's port logistics network</w:t>
      </w:r>
    </w:p>
    <w:p>
      <w:pPr>
        <w:numPr>
          <w:ilvl w:val="0"/>
          <w:numId w:val="1003"/>
        </w:numPr>
        <w:pStyle w:val="Compact"/>
      </w:pPr>
      <w:r>
        <w:t xml:space="preserve">Q4 2030: Full-scale implementation across Guangdong Province's industrial parks</w:t>
      </w:r>
    </w:p>
    <w:bookmarkEnd w:id="27"/>
    <w:bookmarkStart w:id="28" w:name="conclusion"/>
    <w:p>
      <w:pPr>
        <w:pStyle w:val="Heading2"/>
      </w:pPr>
      <w:r>
        <w:t xml:space="preserve">Conclusion</w:t>
      </w:r>
    </w:p>
    <w:p>
      <w:pPr>
        <w:pStyle w:val="FirstParagraph"/>
      </w:pPr>
      <w:r>
        <w:t xml:space="preserve">This Thesis Proposal represents a pivotal investment in China Guangzhou's future as a global mathematics and innovation leader. By centering the Mathematician as the architect of practical solutions, we address critical gaps in regional development while fulfilling national strategic imperatives. The success of this initiative will establish China Guangzhou not merely as an economic powerhouse, but as a beacon for how mathematical excellence can transform urban living and industrial advancement. This Thesis Proposal is more than academic inquiry—it is the blueprint for a new era where the Mathematician’s vision drives progress in one of the world's most dynamic cities.</w:t>
      </w:r>
    </w:p>
    <w:bookmarkEnd w:id="28"/>
    <w:bookmarkStart w:id="29" w:name="references-selected"/>
    <w:p>
      <w:pPr>
        <w:pStyle w:val="Heading2"/>
      </w:pPr>
      <w:r>
        <w:t xml:space="preserve">References (Selected)</w:t>
      </w:r>
    </w:p>
    <w:p>
      <w:pPr>
        <w:numPr>
          <w:ilvl w:val="0"/>
          <w:numId w:val="1004"/>
        </w:numPr>
        <w:pStyle w:val="Compact"/>
      </w:pPr>
      <w:r>
        <w:t xml:space="preserve">China Ministry of Education. (2023). *National Strategic Plan for Mathematical Sciences*. Beijing.</w:t>
      </w:r>
    </w:p>
    <w:p>
      <w:pPr>
        <w:numPr>
          <w:ilvl w:val="0"/>
          <w:numId w:val="1004"/>
        </w:numPr>
        <w:pStyle w:val="Compact"/>
      </w:pPr>
      <w:r>
        <w:t xml:space="preserve">Guangzhou Bureau of Statistics. (2024). *Annual Report on Innovation Ecosystem Development*.</w:t>
      </w:r>
    </w:p>
    <w:p>
      <w:pPr>
        <w:numPr>
          <w:ilvl w:val="0"/>
          <w:numId w:val="1004"/>
        </w:numPr>
        <w:pStyle w:val="Compact"/>
      </w:pPr>
      <w:r>
        <w:t xml:space="preserve">Liu, W. et al. (2023). "Mathematics in Smart Cities: A Southeast Asian Case Study." *Journal of Computational Mathematics*, 41(3), 78-95.</w:t>
      </w:r>
    </w:p>
    <w:p>
      <w:pPr>
        <w:numPr>
          <w:ilvl w:val="0"/>
          <w:numId w:val="1004"/>
        </w:numPr>
        <w:pStyle w:val="Compact"/>
      </w:pPr>
      <w:r>
        <w:t xml:space="preserve">UNESCO. (2021). *Global Report on STEM Education*. Paris.</w:t>
      </w:r>
    </w:p>
    <w:p>
      <w:pPr>
        <w:pStyle w:val="FirstParagraph"/>
      </w:pPr>
      <w:r>
        <w:rPr>
          <w:bCs/>
          <w:b/>
        </w:rPr>
        <w:t xml:space="preserve">Note:</w:t>
      </w:r>
      <w:r>
        <w:t xml:space="preserve"> </w:t>
      </w:r>
      <w:r>
        <w:t xml:space="preserve">This Thesis Proposal has been prepared for submission to the Guangdong Provincial Science and Technology Commission and is intended to secure collaborative funding for the advancement of mathematical research in China Guangzhou.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China Guangzhou</dc:title>
  <dc:creator/>
  <dc:language>en</dc:language>
  <cp:keywords/>
  <dcterms:created xsi:type="dcterms:W3CDTF">2026-07-18T08:09:03Z</dcterms:created>
  <dcterms:modified xsi:type="dcterms:W3CDTF">2026-07-18T08:09:03Z</dcterms:modified>
</cp:coreProperties>
</file>

<file path=docProps/custom.xml><?xml version="1.0" encoding="utf-8"?>
<Properties xmlns="http://schemas.openxmlformats.org/officeDocument/2006/custom-properties" xmlns:vt="http://schemas.openxmlformats.org/officeDocument/2006/docPropsVTypes"/>
</file>