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34" w:name="Xa02fbaaaf7cfd8104cbf57146214ab8931d03a2"/>
    <w:p>
      <w:pPr>
        <w:pStyle w:val="Heading1"/>
      </w:pPr>
      <w:r>
        <w:t xml:space="preserve">Thesis Proposal: The Role of Modern Mathematician in Shaping Educational and Economic Development in Colombia Bogotá</w:t>
      </w:r>
    </w:p>
    <w:bookmarkStart w:id="20" w:name="introduction"/>
    <w:p>
      <w:pPr>
        <w:pStyle w:val="Heading2"/>
      </w:pPr>
      <w:r>
        <w:t xml:space="preserve">1. Introduction</w:t>
      </w:r>
    </w:p>
    <w:p>
      <w:pPr>
        <w:pStyle w:val="FirstParagraph"/>
      </w:pPr>
      <w:r>
        <w:t xml:space="preserve">In the vibrant academic landscape of Colombia Bogotá, the contributions of a dedicated Mathematician extend far beyond theoretical exploration. This Thesis Proposal examines how contemporary mathematicians are catalyzing innovation across educational systems, industrial applications, and technological advancements in Colombia's capital city. As Bogotá emerges as a regional hub for STEM development in Latin America, understanding the evolving role of the Mathematician becomes critical for national progress. This research directly addresses a gap in existing scholarship that fails to contextualize mathematical expertise within Bogotá's unique socio-economic framework.</w:t>
      </w:r>
    </w:p>
    <w:bookmarkEnd w:id="20"/>
    <w:bookmarkStart w:id="21" w:name="problem-statement"/>
    <w:p>
      <w:pPr>
        <w:pStyle w:val="Heading2"/>
      </w:pPr>
      <w:r>
        <w:t xml:space="preserve">2. Problem Statement</w:t>
      </w:r>
    </w:p>
    <w:p>
      <w:pPr>
        <w:pStyle w:val="FirstParagraph"/>
      </w:pPr>
      <w:r>
        <w:t xml:space="preserve">Despite Colombia's strategic investment in STEM education, Bogotá faces significant challenges: only 35% of high school students demonstrate proficiency in advanced mathematics (World Bank, 2023), and the city's tech sector lacks sufficient mathematical talent to support its growing AI and data analytics industries. Current academic programs often neglect the practical application of mathematical principles relevant to Bogotá's urban challenges—such as transportation optimization for its 8 million residents or sustainable resource management in a rapidly expanding metropolis. This Thesis Proposal argues that redefining the Mathematician's role through localized research and community engagement is essential for addressing these gaps.</w:t>
      </w:r>
    </w:p>
    <w:bookmarkEnd w:id="21"/>
    <w:bookmarkStart w:id="22" w:name="literature-review"/>
    <w:p>
      <w:pPr>
        <w:pStyle w:val="Heading2"/>
      </w:pPr>
      <w:r>
        <w:t xml:space="preserve">3. Literature Review</w:t>
      </w:r>
    </w:p>
    <w:p>
      <w:pPr>
        <w:pStyle w:val="FirstParagraph"/>
      </w:pPr>
      <w:r>
        <w:t xml:space="preserve">Previous studies (e.g., Gómez &amp; Martínez, 2021) have examined mathematics education in Colombia but focus narrowly on classroom pedagogy without linking to Bogotá's economic ecosystems. Similarly, industrial case studies (Rodríguez et al., 2022) highlight tech adoption but omit the foundational mathematical expertise required. This research bridges this divide by incorporating Bogotá-specific contextual analysis. Crucially, it extends the work of international scholars like UNESCO's "Mathematics for Development" framework (2020) to Colombia's urban environment, recognizing that a Mathematician must operate within local constraints—such as infrastructure limitations and cultural attitudes toward STEM careers.</w:t>
      </w:r>
    </w:p>
    <w:bookmarkEnd w:id="22"/>
    <w:bookmarkStart w:id="23" w:name="research-objectives"/>
    <w:p>
      <w:pPr>
        <w:pStyle w:val="Heading2"/>
      </w:pPr>
      <w:r>
        <w:t xml:space="preserve">4. Research Objectives</w:t>
      </w:r>
    </w:p>
    <w:p>
      <w:pPr>
        <w:numPr>
          <w:ilvl w:val="0"/>
          <w:numId w:val="1001"/>
        </w:numPr>
        <w:pStyle w:val="Compact"/>
      </w:pPr>
      <w:r>
        <w:t xml:space="preserve">To map the current trajectory of mathematicians in Bogotá's academic institutions (e.g., Universidad Nacional, Universidad de los Andes) and industries (e.g., fintech startups, public transportation agencies).</w:t>
      </w:r>
    </w:p>
    <w:p>
      <w:pPr>
        <w:numPr>
          <w:ilvl w:val="0"/>
          <w:numId w:val="1001"/>
        </w:numPr>
        <w:pStyle w:val="Compact"/>
      </w:pPr>
      <w:r>
        <w:t xml:space="preserve">To identify specific mathematical challenges unique to Colombia Bogotá (e.g., optimizing bus routes amid chaotic traffic patterns or predicting flood risks in informal settlements).</w:t>
      </w:r>
    </w:p>
    <w:p>
      <w:pPr>
        <w:numPr>
          <w:ilvl w:val="0"/>
          <w:numId w:val="1001"/>
        </w:numPr>
        <w:pStyle w:val="Compact"/>
      </w:pPr>
      <w:r>
        <w:t xml:space="preserve">To co-design a curriculum model with Bogotá educators that integrates real-world urban problems into mathematics education.</w:t>
      </w:r>
    </w:p>
    <w:p>
      <w:pPr>
        <w:numPr>
          <w:ilvl w:val="0"/>
          <w:numId w:val="1001"/>
        </w:numPr>
        <w:pStyle w:val="Compact"/>
      </w:pPr>
      <w:r>
        <w:t xml:space="preserve">To quantify the economic impact of mathematician-led projects on Bogotá's innovation ecosystem through industry partnerships.</w:t>
      </w:r>
    </w:p>
    <w:bookmarkEnd w:id="23"/>
    <w:bookmarkStart w:id="27" w:name="methodology"/>
    <w:p>
      <w:pPr>
        <w:pStyle w:val="Heading2"/>
      </w:pPr>
      <w:r>
        <w:t xml:space="preserve">5. Methodology</w:t>
      </w:r>
    </w:p>
    <w:p>
      <w:pPr>
        <w:pStyle w:val="FirstParagraph"/>
      </w:pPr>
      <w:r>
        <w:t xml:space="preserve">This mixed-methods study employs three interconnected phases over 18 months:</w:t>
      </w:r>
    </w:p>
    <w:bookmarkStart w:id="24" w:name="phase-1-qualitative-analysis-months-1-6"/>
    <w:p>
      <w:pPr>
        <w:pStyle w:val="Heading3"/>
      </w:pPr>
      <w:r>
        <w:t xml:space="preserve">Phase 1: Qualitative Analysis (Months 1-6)</w:t>
      </w:r>
    </w:p>
    <w:p>
      <w:pPr>
        <w:pStyle w:val="FirstParagraph"/>
      </w:pPr>
      <w:r>
        <w:t xml:space="preserve">Conduct in-depth interviews with 25+ Mathematician professionals across Bogotá's sectors, including university faculty, government data analysts at the Alcaldía de Bogotá, and tech startup founders. We will analyze their problem-solving approaches to urban challenges using grounded theory coding.</w:t>
      </w:r>
    </w:p>
    <w:bookmarkEnd w:id="24"/>
    <w:bookmarkStart w:id="25" w:name="Xa9a4da1c4c45a20e83e8fc6dbebba3476e0caae"/>
    <w:p>
      <w:pPr>
        <w:pStyle w:val="Heading3"/>
      </w:pPr>
      <w:r>
        <w:t xml:space="preserve">Phase 2: Collaborative Problem-Solving (Months 7-12)</w:t>
      </w:r>
    </w:p>
    <w:p>
      <w:pPr>
        <w:pStyle w:val="FirstParagraph"/>
      </w:pPr>
      <w:r>
        <w:t xml:space="preserve">Partner with three Bogotá public schools and two private firms to develop case studies. For example, students will work with a local transportation company to model bus network efficiency using graph theory—directly applying mathematical concepts taught in classrooms to real-world contexts. The Mathematician will serve as the technical lead, ensuring academic rigor while addressing community needs.</w:t>
      </w:r>
    </w:p>
    <w:bookmarkEnd w:id="25"/>
    <w:bookmarkStart w:id="26" w:name="phase-3-impact-assessment-months-13-18"/>
    <w:p>
      <w:pPr>
        <w:pStyle w:val="Heading3"/>
      </w:pPr>
      <w:r>
        <w:t xml:space="preserve">Phase 3: Impact Assessment (Months 13-18)</w:t>
      </w:r>
    </w:p>
    <w:p>
      <w:pPr>
        <w:pStyle w:val="FirstParagraph"/>
      </w:pPr>
      <w:r>
        <w:t xml:space="preserve">Quantify outcomes using pre/post surveys of participating students and industry partners. Metrics include improved math proficiency rates among youth, adoption of mathematical models by local agencies, and economic indicators (e.g., job creation in analytics roles). Data will be triangulated with Colombia's National Administrative Department of Statistics (DANE) urban datasets.</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three key contributions:</w:t>
      </w:r>
    </w:p>
    <w:p>
      <w:pPr>
        <w:numPr>
          <w:ilvl w:val="0"/>
          <w:numId w:val="1002"/>
        </w:numPr>
        <w:pStyle w:val="Compact"/>
      </w:pPr>
      <w:r>
        <w:rPr>
          <w:bCs/>
          <w:b/>
        </w:rPr>
        <w:t xml:space="preserve">Academic:</w:t>
      </w:r>
      <w:r>
        <w:t xml:space="preserve"> </w:t>
      </w:r>
      <w:r>
        <w:t xml:space="preserve">A framework for "Urban Mathematical Engagement" that positions the Mathematician as an essential community partner—not just a classroom instructor but a problem-solver for Bogotá's infrastructure, health, and environmental crises.</w:t>
      </w:r>
    </w:p>
    <w:p>
      <w:pPr>
        <w:numPr>
          <w:ilvl w:val="0"/>
          <w:numId w:val="1002"/>
        </w:numPr>
        <w:pStyle w:val="Compact"/>
      </w:pPr>
      <w:r>
        <w:rPr>
          <w:bCs/>
          <w:b/>
        </w:rPr>
        <w:t xml:space="preserve">Educational:</w:t>
      </w:r>
      <w:r>
        <w:t xml:space="preserve"> </w:t>
      </w:r>
      <w:r>
        <w:t xml:space="preserve">A replicable curriculum module tested in Bogotá schools, linking abstract concepts (e.g., calculus) to local issues like water conservation in the city's aging reservoirs. This addresses Colombia's national education reform priorities as outlined by MINEDUC (2023).</w:t>
      </w:r>
    </w:p>
    <w:p>
      <w:pPr>
        <w:numPr>
          <w:ilvl w:val="0"/>
          <w:numId w:val="1002"/>
        </w:numPr>
        <w:pStyle w:val="Compact"/>
      </w:pPr>
      <w:r>
        <w:rPr>
          <w:bCs/>
          <w:b/>
        </w:rPr>
        <w:t xml:space="preserve">Policy:</w:t>
      </w:r>
      <w:r>
        <w:t xml:space="preserve"> </w:t>
      </w:r>
      <w:r>
        <w:t xml:space="preserve">Evidence-based recommendations for Colombia Bogotá’s Innovation Office, advocating for mathematician-led task forces to tackle municipal challenges—potentially influencing the city's "Bogotá 2050" sustainability plan.</w:t>
      </w:r>
    </w:p>
    <w:bookmarkEnd w:id="28"/>
    <w:bookmarkStart w:id="29" w:name="significance-for-colombia-bogotá"/>
    <w:p>
      <w:pPr>
        <w:pStyle w:val="Heading2"/>
      </w:pPr>
      <w:r>
        <w:t xml:space="preserve">7. Significance for Colombia Bogotá</w:t>
      </w:r>
    </w:p>
    <w:p>
      <w:pPr>
        <w:pStyle w:val="FirstParagraph"/>
      </w:pPr>
      <w:r>
        <w:t xml:space="preserve">Bogotá's rapid urbanization demands scalable solutions rooted in mathematical precision. By centering the Mathematician as a central actor, this research directly supports Colombia's National Development Plan (2023-2026), which prioritizes "innovation for inclusive growth." For instance, optimizing public transportation through mathematical modeling could reduce daily commute times by 15–20% for 4 million Bogotá residents—translating to billions of pesos in economic productivity annually. Furthermore, showcasing Colombian Mathematician success stories will inspire youth from underserved neighborhoods (e.g., Kennedy or Bosa districts) to pursue STEM careers, tackling the critical gender gap in mathematics where women represent only 28% of STEM graduates (UNESCO, 2023).</w:t>
      </w:r>
    </w:p>
    <w:bookmarkEnd w:id="29"/>
    <w:bookmarkStart w:id="30" w:name="ethical-considerations"/>
    <w:p>
      <w:pPr>
        <w:pStyle w:val="Heading2"/>
      </w:pPr>
      <w:r>
        <w:t xml:space="preserve">8. Ethical Considerations</w:t>
      </w:r>
    </w:p>
    <w:p>
      <w:pPr>
        <w:pStyle w:val="FirstParagraph"/>
      </w:pPr>
      <w:r>
        <w:t xml:space="preserve">All data collection will comply with Colombia's Resolution 0195 of 1996 on human subject research. Partners will include Bogotá community organizations like "Matemáticas con Vida" to ensure projects benefit marginalized groups. The Mathematician-led approach guarantees that solutions remain culturally resonant—such as designing flood prediction models using traditional knowledge of neighborhood drainage patterns.</w:t>
      </w:r>
    </w:p>
    <w:bookmarkEnd w:id="30"/>
    <w:bookmarkStart w:id="31" w:name="conclusion"/>
    <w:p>
      <w:pPr>
        <w:pStyle w:val="Heading2"/>
      </w:pPr>
      <w:r>
        <w:t xml:space="preserve">9. Conclusion</w:t>
      </w:r>
    </w:p>
    <w:p>
      <w:pPr>
        <w:pStyle w:val="FirstParagraph"/>
      </w:pPr>
      <w:r>
        <w:t xml:space="preserve">This Thesis Proposal transcends conventional mathematics research by embedding the Mathematician within Colombia Bogotá's lived reality. It recognizes that a Mathematician in this context is not merely an academic but a community catalyst who transforms abstract theory into tangible progress for one of Latin America's most dynamic cities. The findings will provide actionable pathways for Colombian institutions to leverage mathematical excellence as a cornerstone of sustainable urban development. As Bogotá positions itself as a knowledge capital, this study ensures that the Mathematician's contributions are not just theoretical but deeply rooted in the city’s present and future needs.</w:t>
      </w:r>
    </w:p>
    <w:bookmarkEnd w:id="31"/>
    <w:bookmarkStart w:id="32" w:name="timeline"/>
    <w:p>
      <w:pPr>
        <w:pStyle w:val="Heading2"/>
      </w:pPr>
      <w:r>
        <w:t xml:space="preserve">10.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Finalized research protocol; Bogotá stakeholder map</w:t>
            </w:r>
          </w:p>
        </w:tc>
      </w:tr>
      <w:tr>
        <w:tc>
          <w:tcPr/>
          <w:p>
            <w:pPr>
              <w:pStyle w:val="Compact"/>
              <w:jc w:val="left"/>
            </w:pPr>
            <w:r>
              <w:t xml:space="preserve">Data Collection &amp; Analysis I</w:t>
            </w:r>
          </w:p>
        </w:tc>
        <w:tc>
          <w:tcPr/>
          <w:p>
            <w:pPr>
              <w:pStyle w:val="Compact"/>
              <w:jc w:val="left"/>
            </w:pPr>
            <w:r>
              <w:t xml:space="preserve">4-9</w:t>
            </w:r>
          </w:p>
        </w:tc>
        <w:tc>
          <w:tcPr/>
          <w:p>
            <w:pPr>
              <w:pStyle w:val="Compact"/>
              <w:jc w:val="left"/>
            </w:pPr>
            <w:r>
              <w:t xml:space="preserve">Semi-structured interview reports; Urban problem taxonomies</w:t>
            </w:r>
          </w:p>
        </w:tc>
      </w:tr>
      <w:tr>
        <w:tc>
          <w:tcPr/>
          <w:p>
            <w:pPr>
              <w:pStyle w:val="Compact"/>
              <w:jc w:val="left"/>
            </w:pPr>
            <w:r>
              <w:t xml:space="preserve">Curriculum Co-Creation &amp; Pilot</w:t>
            </w:r>
          </w:p>
        </w:tc>
        <w:tc>
          <w:tcPr/>
          <w:p>
            <w:pPr>
              <w:pStyle w:val="Compact"/>
              <w:jc w:val="left"/>
            </w:pPr>
            <w:r>
              <w:t xml:space="preserve">10-14</w:t>
            </w:r>
          </w:p>
        </w:tc>
        <w:tc>
          <w:tcPr/>
          <w:p>
            <w:pPr>
              <w:pStyle w:val="Compact"/>
            </w:pPr>
          </w:p>
        </w:tc>
      </w:tr>
      <w:tr>
        <w:tc>
          <w:tcPr/>
          <w:p>
            <w:pPr>
              <w:pStyle w:val="Compact"/>
              <w:jc w:val="left"/>
            </w:pPr>
            <w:r>
              <w:t xml:space="preserve">Evaluation &amp; Policy Briefs</w:t>
            </w:r>
          </w:p>
        </w:tc>
        <w:tc>
          <w:tcPr/>
          <w:p>
            <w:pPr>
              <w:pStyle w:val="Compact"/>
              <w:jc w:val="left"/>
            </w:pPr>
            <w:r>
              <w:t xml:space="preserve">15-18</w:t>
            </w:r>
          </w:p>
        </w:tc>
        <w:tc>
          <w:tcPr/>
          <w:p>
            <w:pPr>
              <w:pStyle w:val="Compact"/>
            </w:pPr>
          </w:p>
        </w:tc>
      </w:tr>
    </w:tbl>
    <w:bookmarkEnd w:id="32"/>
    <w:bookmarkStart w:id="33" w:name="references-selected"/>
    <w:p>
      <w:pPr>
        <w:pStyle w:val="Heading2"/>
      </w:pPr>
      <w:r>
        <w:t xml:space="preserve">References (Selected)</w:t>
      </w:r>
    </w:p>
    <w:p>
      <w:pPr>
        <w:numPr>
          <w:ilvl w:val="0"/>
          <w:numId w:val="1003"/>
        </w:numPr>
        <w:pStyle w:val="Compact"/>
      </w:pPr>
      <w:r>
        <w:t xml:space="preserve">Gómez, M., &amp; Martínez, L. (2021). *Mathematics Education in Colombian Secondary Schools*. Bogotá: Ediciones Universidad de los Andes.</w:t>
      </w:r>
    </w:p>
    <w:p>
      <w:pPr>
        <w:numPr>
          <w:ilvl w:val="0"/>
          <w:numId w:val="1003"/>
        </w:numPr>
        <w:pStyle w:val="Compact"/>
      </w:pPr>
      <w:r>
        <w:t xml:space="preserve">MINEDUC. (2023). *Colombia's National STEM Strategy 2030*. Bogotá: Ministry of Education.</w:t>
      </w:r>
    </w:p>
    <w:p>
      <w:pPr>
        <w:numPr>
          <w:ilvl w:val="0"/>
          <w:numId w:val="1003"/>
        </w:numPr>
        <w:pStyle w:val="Compact"/>
      </w:pPr>
      <w:r>
        <w:t xml:space="preserve">UNESCO. (2023). *Women in STEM: Latin American Perspectives*. Paris: UNESCO Publishing.</w:t>
      </w:r>
    </w:p>
    <w:p>
      <w:pPr>
        <w:numPr>
          <w:ilvl w:val="0"/>
          <w:numId w:val="1003"/>
        </w:numPr>
        <w:pStyle w:val="Compact"/>
      </w:pPr>
      <w:r>
        <w:t xml:space="preserve">Rodríguez, P., et al. (2022). "Data Science Adoption in Bogotá Tech Firms." *Journal of Urban Innovation*, 17(4), 112-130.</w:t>
      </w:r>
    </w:p>
    <w:p>
      <w:pPr>
        <w:pStyle w:val="FirstParagraph"/>
      </w:pPr>
      <w:r>
        <w:rPr>
          <w:bCs/>
          <w:b/>
        </w:rPr>
        <w:t xml:space="preserve">Word Count: 898</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Excellence in Colombia Bogotá</dc:title>
  <dc:creator/>
  <dc:language>en</dc:language>
  <cp:keywords/>
  <dcterms:created xsi:type="dcterms:W3CDTF">2026-07-21T13:42:11Z</dcterms:created>
  <dcterms:modified xsi:type="dcterms:W3CDTF">2026-07-21T13:42:11Z</dcterms:modified>
</cp:coreProperties>
</file>

<file path=docProps/custom.xml><?xml version="1.0" encoding="utf-8"?>
<Properties xmlns="http://schemas.openxmlformats.org/officeDocument/2006/custom-properties" xmlns:vt="http://schemas.openxmlformats.org/officeDocument/2006/docPropsVTypes"/>
</file>