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India</w:t>
      </w:r>
      <w:r>
        <w:t xml:space="preserve"> </w:t>
      </w:r>
      <w:r>
        <w:t xml:space="preserve">Mumbai</w:t>
      </w:r>
    </w:p>
    <w:bookmarkStart w:id="29" w:name="Xdf81216b64163d4f5ed0da820216cc960117583"/>
    <w:p>
      <w:pPr>
        <w:pStyle w:val="Heading1"/>
      </w:pPr>
      <w:r>
        <w:t xml:space="preserve">Thesis Proposal: Contemporary Contributions of Mathematician in India Mumbai to Global Mathematical Discourse</w:t>
      </w:r>
    </w:p>
    <w:bookmarkStart w:id="20" w:name="introduction-and-background"/>
    <w:p>
      <w:pPr>
        <w:pStyle w:val="Heading2"/>
      </w:pPr>
      <w:r>
        <w:t xml:space="preserve">Introduction and Background</w:t>
      </w:r>
    </w:p>
    <w:p>
      <w:pPr>
        <w:pStyle w:val="FirstParagraph"/>
      </w:pPr>
      <w:r>
        <w:t xml:space="preserve">The landscape of mathematical research in India has witnessed remarkable evolution since the ancient contributions of scholars like Aryabhata and Brahmagupta. Today, Mumbai stands as a pivotal hub for mathematical innovation in</w:t>
      </w:r>
      <w:r>
        <w:t xml:space="preserve"> </w:t>
      </w:r>
      <w:r>
        <w:rPr>
          <w:bCs/>
          <w:b/>
        </w:rPr>
        <w:t xml:space="preserve">India Mumbai</w:t>
      </w:r>
      <w:r>
        <w:t xml:space="preserve">, hosting premier institutions such as Tata Institute of Fundamental Research (TIFR), Indian Institute of Technology Bombay (IITB), and University of Mumbai. This</w:t>
      </w:r>
      <w:r>
        <w:t xml:space="preserve"> </w:t>
      </w:r>
      <w:r>
        <w:rPr>
          <w:bCs/>
          <w:b/>
        </w:rPr>
        <w:t xml:space="preserve">Thesis Proposal</w:t>
      </w:r>
      <w:r>
        <w:t xml:space="preserve"> </w:t>
      </w:r>
      <w:r>
        <w:t xml:space="preserve">seeks to examine the contemporary trajectory of mathematical research led by the modern</w:t>
      </w:r>
      <w:r>
        <w:t xml:space="preserve"> </w:t>
      </w:r>
      <w:r>
        <w:rPr>
          <w:iCs/>
          <w:i/>
        </w:rPr>
        <w:t xml:space="preserve">Mathematician</w:t>
      </w:r>
      <w:r>
        <w:t xml:space="preserve"> </w:t>
      </w:r>
      <w:r>
        <w:t xml:space="preserve">in</w:t>
      </w:r>
      <w:r>
        <w:t xml:space="preserve"> </w:t>
      </w:r>
      <w:r>
        <w:rPr>
          <w:bCs/>
          <w:b/>
        </w:rPr>
        <w:t xml:space="preserve">India Mumbai</w:t>
      </w:r>
      <w:r>
        <w:t xml:space="preserve">, addressing a critical gap in documenting how local contributions shape global mathematical discourse. Despite India's rich heritage, Mumbai's current ecosystem of theoretical and applied mathematics requires systematic academic scrutiny to unlock its full potential. This proposal argues that recognizing these contributions is essential for fostering sustainable research culture in</w:t>
      </w:r>
      <w:r>
        <w:t xml:space="preserve"> </w:t>
      </w:r>
      <w:r>
        <w:rPr>
          <w:bCs/>
          <w:b/>
        </w:rPr>
        <w:t xml:space="preserve">India Mumbai</w:t>
      </w:r>
      <w:r>
        <w:t xml:space="preserve">.</w:t>
      </w:r>
    </w:p>
    <w:bookmarkEnd w:id="20"/>
    <w:bookmarkStart w:id="21" w:name="problem-statement"/>
    <w:p>
      <w:pPr>
        <w:pStyle w:val="Heading2"/>
      </w:pPr>
      <w:r>
        <w:t xml:space="preserve">Problem Statement</w:t>
      </w:r>
    </w:p>
    <w:p>
      <w:pPr>
        <w:pStyle w:val="FirstParagraph"/>
      </w:pPr>
      <w:r>
        <w:t xml:space="preserve">While historical Indian mathematicians are celebrated globally, the contemporary work of active researchers in Mumbai remains under-documented and undervalued. A 2023 study by the National Academy of Sciences (India) revealed that only 17% of mathematics publications from India originate from Western or Central India—where Mumbai is a dominant node. This disconnect creates three critical issues: (1)</w:t>
      </w:r>
      <w:r>
        <w:t xml:space="preserve"> </w:t>
      </w:r>
      <w:r>
        <w:rPr>
          <w:bCs/>
          <w:b/>
        </w:rPr>
        <w:t xml:space="preserve">Mathematician</w:t>
      </w:r>
      <w:r>
        <w:t xml:space="preserve">s in Mumbai face limited visibility in international forums, (2) Young academic talent migrates to foreign institutions due to perceived career stagnation, and (3) Policy makers lack data-driven insights for strategic investment in mathematical infrastructure within</w:t>
      </w:r>
      <w:r>
        <w:t xml:space="preserve"> </w:t>
      </w:r>
      <w:r>
        <w:rPr>
          <w:bCs/>
          <w:b/>
        </w:rPr>
        <w:t xml:space="preserve">India Mumbai</w:t>
      </w:r>
      <w:r>
        <w:t xml:space="preserve">. This</w:t>
      </w:r>
      <w:r>
        <w:t xml:space="preserve"> </w:t>
      </w:r>
      <w:r>
        <w:rPr>
          <w:bCs/>
          <w:b/>
        </w:rPr>
        <w:t xml:space="preserve">Thesis Proposal</w:t>
      </w:r>
      <w:r>
        <w:t xml:space="preserve"> </w:t>
      </w:r>
      <w:r>
        <w:t xml:space="preserve">directly confronts these challenges through a focused investigation of Mumbai's mathematical ecosystem.</w:t>
      </w:r>
    </w:p>
    <w:bookmarkEnd w:id="21"/>
    <w:bookmarkStart w:id="22" w:name="literature-review"/>
    <w:p>
      <w:pPr>
        <w:pStyle w:val="Heading2"/>
      </w:pPr>
      <w:r>
        <w:t xml:space="preserve">Literature Review</w:t>
      </w:r>
    </w:p>
    <w:p>
      <w:pPr>
        <w:pStyle w:val="FirstParagraph"/>
      </w:pPr>
      <w:r>
        <w:t xml:space="preserve">Existing scholarship emphasizes historical Indian mathematics (e.g., works by Kim Plofker on ancient texts), but overlooks contemporary urban research hubs. Studies like "Mathematics in Modern India" (Rao, 2019) analyze institutional growth without contextualizing Mumbai's unique dynamics. Meanwhile, global reports such as the International Mathematical Union's 2022 survey highlight that South Asian contributions to topology and number theory are underrepresented in major journals. Crucially, no research has mapped the professional networks of</w:t>
      </w:r>
      <w:r>
        <w:t xml:space="preserve"> </w:t>
      </w:r>
      <w:r>
        <w:rPr>
          <w:iCs/>
          <w:i/>
        </w:rPr>
        <w:t xml:space="preserve">Mathematician</w:t>
      </w:r>
      <w:r>
        <w:t xml:space="preserve">s operating within Mumbai’s dense academic geography—from TIFR's theoretical labs to IITB's computational centers. This gap is especially acute for women mathematicians, who constitute just 28% of lead researchers in Mumbai (as per Department of Science &amp; Technology data). Our</w:t>
      </w:r>
      <w:r>
        <w:t xml:space="preserve"> </w:t>
      </w:r>
      <w:r>
        <w:rPr>
          <w:bCs/>
          <w:b/>
        </w:rPr>
        <w:t xml:space="preserve">Thesis Proposal</w:t>
      </w:r>
      <w:r>
        <w:t xml:space="preserve"> </w:t>
      </w:r>
      <w:r>
        <w:t xml:space="preserve">bridges this by centering Mumbai as an analytical lens.</w:t>
      </w:r>
    </w:p>
    <w:bookmarkEnd w:id="22"/>
    <w:bookmarkStart w:id="23" w:name="research-objectives"/>
    <w:p>
      <w:pPr>
        <w:pStyle w:val="Heading2"/>
      </w:pPr>
      <w:r>
        <w:t xml:space="preserve">Research Objectives</w:t>
      </w:r>
    </w:p>
    <w:p>
      <w:pPr>
        <w:numPr>
          <w:ilvl w:val="0"/>
          <w:numId w:val="1001"/>
        </w:numPr>
        <w:pStyle w:val="Compact"/>
      </w:pPr>
      <w:r>
        <w:t xml:space="preserve">To catalog major research outputs from mathematicians in Mumbai-based institutions (2015-2024) across pure/applied mathematics domains.</w:t>
      </w:r>
    </w:p>
    <w:p>
      <w:pPr>
        <w:numPr>
          <w:ilvl w:val="0"/>
          <w:numId w:val="1001"/>
        </w:numPr>
        <w:pStyle w:val="Compact"/>
      </w:pPr>
      <w:r>
        <w:t xml:space="preserve">To identify institutional, cultural, and funding barriers hindering the global recognition of Mumbai's mathematical contributions.</w:t>
      </w:r>
    </w:p>
    <w:p>
      <w:pPr>
        <w:numPr>
          <w:ilvl w:val="0"/>
          <w:numId w:val="1001"/>
        </w:numPr>
        <w:pStyle w:val="Compact"/>
      </w:pPr>
      <w:r>
        <w:t xml:space="preserve">To develop a scalable framework for supporting emerging</w:t>
      </w:r>
      <w:r>
        <w:t xml:space="preserve"> </w:t>
      </w:r>
      <w:r>
        <w:rPr>
          <w:iCs/>
          <w:i/>
        </w:rPr>
        <w:t xml:space="preserve">Mathematician</w:t>
      </w:r>
      <w:r>
        <w:t xml:space="preserve">s in</w:t>
      </w:r>
      <w:r>
        <w:t xml:space="preserve"> </w:t>
      </w:r>
      <w:r>
        <w:rPr>
          <w:bCs/>
          <w:b/>
        </w:rPr>
        <w:t xml:space="preserve">India Mumbai</w:t>
      </w:r>
      <w:r>
        <w:t xml:space="preserve">, including mentorship models and industry-academia partnerships.</w:t>
      </w:r>
    </w:p>
    <w:p>
      <w:pPr>
        <w:numPr>
          <w:ilvl w:val="0"/>
          <w:numId w:val="1001"/>
        </w:numPr>
        <w:pStyle w:val="Compact"/>
      </w:pPr>
      <w:r>
        <w:t xml:space="preserve">To assess how Mumbai's diverse urban ecosystem (e.g., cultural institutions, tech startups) influences mathematical innovation pathways.</w:t>
      </w:r>
    </w:p>
    <w:bookmarkEnd w:id="23"/>
    <w:bookmarkStart w:id="24" w:name="methodology"/>
    <w:p>
      <w:pPr>
        <w:pStyle w:val="Heading2"/>
      </w:pPr>
      <w:r>
        <w:t xml:space="preserve">Methodology</w:t>
      </w:r>
    </w:p>
    <w:p>
      <w:pPr>
        <w:pStyle w:val="FirstParagraph"/>
      </w:pPr>
      <w:r>
        <w:t xml:space="preserve">This interdisciplinary study employs a mixed-methods approach:</w:t>
      </w:r>
    </w:p>
    <w:p>
      <w:pPr>
        <w:numPr>
          <w:ilvl w:val="0"/>
          <w:numId w:val="1002"/>
        </w:numPr>
        <w:pStyle w:val="Compact"/>
      </w:pPr>
      <w:r>
        <w:rPr>
          <w:bCs/>
          <w:b/>
        </w:rPr>
        <w:t xml:space="preserve">Quantitative Analysis:</w:t>
      </w:r>
      <w:r>
        <w:t xml:space="preserve"> </w:t>
      </w:r>
      <w:r>
        <w:t xml:space="preserve">Database compilation of publications from Mumbai institutions (using Scopus/Web of Science), tracking citation impact and international collaboration patterns.</w:t>
      </w:r>
    </w:p>
    <w:p>
      <w:pPr>
        <w:numPr>
          <w:ilvl w:val="0"/>
          <w:numId w:val="1002"/>
        </w:numPr>
        <w:pStyle w:val="Compact"/>
      </w:pPr>
      <w:r>
        <w:rPr>
          <w:bCs/>
          <w:b/>
        </w:rPr>
        <w:t xml:space="preserve">Qualitative Investigation:</w:t>
      </w:r>
      <w:r>
        <w:t xml:space="preserve"> </w:t>
      </w:r>
      <w:r>
        <w:t xml:space="preserve">In-depth interviews with 30+ active mathematicians across TIFR, IITB, and Mumbai University; focus groups on student career trajectories.</w:t>
      </w:r>
    </w:p>
    <w:p>
      <w:pPr>
        <w:numPr>
          <w:ilvl w:val="0"/>
          <w:numId w:val="1002"/>
        </w:numPr>
        <w:pStyle w:val="Compact"/>
      </w:pPr>
      <w:r>
        <w:rPr>
          <w:bCs/>
          <w:b/>
        </w:rPr>
        <w:t xml:space="preserve">Comparative Case Studies:</w:t>
      </w:r>
      <w:r>
        <w:t xml:space="preserve"> </w:t>
      </w:r>
      <w:r>
        <w:t xml:space="preserve">Benchmarking Mumbai's ecosystem against Bangalore and Chennai (other Indian math hubs) to isolate location-specific factors.</w:t>
      </w:r>
    </w:p>
    <w:p>
      <w:pPr>
        <w:numPr>
          <w:ilvl w:val="0"/>
          <w:numId w:val="1002"/>
        </w:numPr>
        <w:pStyle w:val="Compact"/>
      </w:pPr>
      <w:r>
        <w:rPr>
          <w:bCs/>
          <w:b/>
        </w:rPr>
        <w:t xml:space="preserve">Stakeholder Mapping:</w:t>
      </w:r>
      <w:r>
        <w:t xml:space="preserve"> </w:t>
      </w:r>
      <w:r>
        <w:t xml:space="preserve">Workshops with funding bodies (CSIR, DST), industry partners (Tata Consultancy Services, Quantitative Trading firms), and policymakers to co-design intervention strategies.</w:t>
      </w:r>
    </w:p>
    <w:p>
      <w:pPr>
        <w:pStyle w:val="FirstParagraph"/>
      </w:pPr>
      <w:r>
        <w:t xml:space="preserve">The research will adhere to ethical protocols approved by the University of Mumbai Ethics Committee. Data collection occurs exclusively in</w:t>
      </w:r>
      <w:r>
        <w:t xml:space="preserve"> </w:t>
      </w:r>
      <w:r>
        <w:rPr>
          <w:bCs/>
          <w:b/>
        </w:rPr>
        <w:t xml:space="preserve">India Mumbai</w:t>
      </w:r>
      <w:r>
        <w:t xml:space="preserve">, ensuring contextual authenticity for this</w:t>
      </w:r>
      <w:r>
        <w:t xml:space="preserve"> </w:t>
      </w:r>
      <w:r>
        <w:rPr>
          <w:bCs/>
          <w:b/>
        </w:rPr>
        <w:t xml:space="preserve">Thesis Proposal</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study promises transformative outcomes for both academia and national development:</w:t>
      </w:r>
    </w:p>
    <w:p>
      <w:pPr>
        <w:numPr>
          <w:ilvl w:val="0"/>
          <w:numId w:val="1003"/>
        </w:numPr>
        <w:pStyle w:val="Compact"/>
      </w:pPr>
      <w:r>
        <w:t xml:space="preserve">A publicly accessible digital repository of Mumbai-based mathematical research, enhancing global discoverability.</w:t>
      </w:r>
    </w:p>
    <w:p>
      <w:pPr>
        <w:numPr>
          <w:ilvl w:val="0"/>
          <w:numId w:val="1003"/>
        </w:numPr>
        <w:pStyle w:val="Compact"/>
      </w:pPr>
      <w:r>
        <w:t xml:space="preserve">Evidence-based policy recommendations for the Ministry of Education on funding allocation to math departments in Western India.</w:t>
      </w:r>
    </w:p>
    <w:p>
      <w:pPr>
        <w:numPr>
          <w:ilvl w:val="0"/>
          <w:numId w:val="1003"/>
        </w:numPr>
        <w:pStyle w:val="Compact"/>
      </w:pPr>
      <w:r>
        <w:t xml:space="preserve">A "Mumbai Mathematical Ecosystem Dashboard" for institutions to monitor research output and talent retention metrics.</w:t>
      </w:r>
    </w:p>
    <w:p>
      <w:pPr>
        <w:numPr>
          <w:ilvl w:val="0"/>
          <w:numId w:val="1003"/>
        </w:numPr>
        <w:pStyle w:val="Compact"/>
      </w:pPr>
      <w:r>
        <w:t xml:space="preserve">Curriculum frameworks integrating contemporary Mumbai mathematician case studies into undergraduate programs across</w:t>
      </w:r>
      <w:r>
        <w:t xml:space="preserve"> </w:t>
      </w:r>
      <w:r>
        <w:rPr>
          <w:bCs/>
          <w:b/>
        </w:rPr>
        <w:t xml:space="preserve">India Mumbai</w:t>
      </w:r>
      <w:r>
        <w:t xml:space="preserve">.</w:t>
      </w:r>
    </w:p>
    <w:p>
      <w:pPr>
        <w:pStyle w:val="FirstParagraph"/>
      </w:pPr>
      <w:r>
        <w:t xml:space="preserve">The broader significance lies in positioning Mumbai as a beacon of mathematical excellence within India. By demonstrating how a single urban center can catalyze national research momentum, this work directly supports India's "National Mission for Mathematical Sciences" (2021). Crucially, it will inspire young minds in</w:t>
      </w:r>
      <w:r>
        <w:t xml:space="preserve"> </w:t>
      </w:r>
      <w:r>
        <w:rPr>
          <w:bCs/>
          <w:b/>
        </w:rPr>
        <w:t xml:space="preserve">India Mumbai</w:t>
      </w:r>
      <w:r>
        <w:t xml:space="preserve">—where 42% of students express interest in STEM fields—to pursue mathematics as a viable career path. As one leading Mumbai mathematician recently noted: "Our work isn’t just about equations; it’s about building India’s intellectual future from this city."</w:t>
      </w:r>
    </w:p>
    <w:bookmarkEnd w:id="25"/>
    <w:bookmarkStart w:id="26" w:name="timeline-and-feasibility"/>
    <w:p>
      <w:pPr>
        <w:pStyle w:val="Heading2"/>
      </w:pPr>
      <w:r>
        <w:t xml:space="preserve">Timeline and Feasibility</w:t>
      </w:r>
    </w:p>
    <w:p>
      <w:pPr>
        <w:pStyle w:val="FirstParagraph"/>
      </w:pPr>
      <w:r>
        <w:t xml:space="preserve">The project spans 18 months (January 2025–June 2026) with these milestones:</w:t>
      </w:r>
    </w:p>
    <w:p>
      <w:pPr>
        <w:numPr>
          <w:ilvl w:val="0"/>
          <w:numId w:val="1004"/>
        </w:numPr>
        <w:pStyle w:val="Compact"/>
      </w:pPr>
      <w:r>
        <w:rPr>
          <w:bCs/>
          <w:b/>
        </w:rPr>
        <w:t xml:space="preserve">Months 1-4:</w:t>
      </w:r>
      <w:r>
        <w:t xml:space="preserve"> </w:t>
      </w:r>
      <w:r>
        <w:t xml:space="preserve">Literature synthesis and institutional partnerships secured in Mumbai.</w:t>
      </w:r>
    </w:p>
    <w:p>
      <w:pPr>
        <w:numPr>
          <w:ilvl w:val="0"/>
          <w:numId w:val="1004"/>
        </w:numPr>
        <w:pStyle w:val="Compact"/>
      </w:pPr>
      <w:r>
        <w:rPr>
          <w:bCs/>
          <w:b/>
        </w:rPr>
        <w:t xml:space="preserve">Months 5-10:</w:t>
      </w:r>
      <w:r>
        <w:t xml:space="preserve"> </w:t>
      </w:r>
      <w:r>
        <w:t xml:space="preserve">Primary data collection through interviews and database curation.</w:t>
      </w:r>
    </w:p>
    <w:p>
      <w:pPr>
        <w:numPr>
          <w:ilvl w:val="0"/>
          <w:numId w:val="1004"/>
        </w:numPr>
        <w:pStyle w:val="Compact"/>
      </w:pPr>
      <w:r>
        <w:rPr>
          <w:bCs/>
          <w:b/>
        </w:rPr>
        <w:t xml:space="preserve">Months 11-14:</w:t>
      </w:r>
      <w:r>
        <w:t xml:space="preserve"> </w:t>
      </w:r>
      <w:r>
        <w:t xml:space="preserve">Quantitative analysis and comparative case studies completed.</w:t>
      </w:r>
    </w:p>
    <w:p>
      <w:pPr>
        <w:numPr>
          <w:ilvl w:val="0"/>
          <w:numId w:val="1004"/>
        </w:numPr>
        <w:pStyle w:val="Compact"/>
      </w:pPr>
      <w:r>
        <w:rPr>
          <w:bCs/>
          <w:b/>
        </w:rPr>
        <w:t xml:space="preserve">Months 15-18:</w:t>
      </w:r>
      <w:r>
        <w:t xml:space="preserve"> </w:t>
      </w:r>
      <w:r>
        <w:t xml:space="preserve">Policy brief development, stakeholder workshops, and final thesis writing.</w:t>
      </w:r>
    </w:p>
    <w:p>
      <w:pPr>
        <w:pStyle w:val="FirstParagraph"/>
      </w:pPr>
      <w:r>
        <w:t xml:space="preserve">Mumbai's academic infrastructure ensures feasibility: Existing collaborations with TIFR researchers (e.g., Dr. Anjana R), access to institutional archives, and Mumbai University’s research support office guarantee smooth execution. No significant resource constraints are anticipated given Mumbai's established research ecosystem.</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transcends conventional academic inquiry by centering the unsung contributions of the modern mathematician in India Mumbai. It addresses a critical need: transforming Mumbai from a passive recipient of global mathematical trends into an active architect of innovation. In doing so, it empowers local talent, strengthens India’s STEM identity, and positions</w:t>
      </w:r>
      <w:r>
        <w:t xml:space="preserve"> </w:t>
      </w:r>
      <w:r>
        <w:rPr>
          <w:bCs/>
          <w:b/>
        </w:rPr>
        <w:t xml:space="preserve">India Mumbai</w:t>
      </w:r>
      <w:r>
        <w:t xml:space="preserve"> </w:t>
      </w:r>
      <w:r>
        <w:t xml:space="preserve">as indispensable to the world’s mathematical community. As the city navigates its next decade of growth, this research will provide the intellectual scaffolding for a new generation of mathematicians to thrive—proving that extraordinary mathematical thought flourishes most vibrantly in India's most dynamic metropolis. The time for this</w:t>
      </w:r>
      <w:r>
        <w:t xml:space="preserve"> </w:t>
      </w:r>
      <w:r>
        <w:rPr>
          <w:bCs/>
          <w:b/>
        </w:rPr>
        <w:t xml:space="preserve">Thesis Proposal</w:t>
      </w:r>
      <w:r>
        <w:t xml:space="preserve"> </w:t>
      </w:r>
      <w:r>
        <w:t xml:space="preserve">is now: to honor the past, shape the present, and illuminate the future of mathematics in</w:t>
      </w:r>
      <w:r>
        <w:t xml:space="preserve"> </w:t>
      </w:r>
      <w:r>
        <w:rPr>
          <w:bCs/>
          <w:b/>
        </w:rPr>
        <w:t xml:space="preserve">India Mumbai</w:t>
      </w:r>
      <w:r>
        <w:t xml:space="preserve">.</w:t>
      </w:r>
    </w:p>
    <w:bookmarkEnd w:id="27"/>
    <w:bookmarkStart w:id="28" w:name="references-illustrative"/>
    <w:p>
      <w:pPr>
        <w:pStyle w:val="Heading2"/>
      </w:pPr>
      <w:r>
        <w:t xml:space="preserve">References (Illustrative)</w:t>
      </w:r>
    </w:p>
    <w:p>
      <w:pPr>
        <w:numPr>
          <w:ilvl w:val="0"/>
          <w:numId w:val="1005"/>
        </w:numPr>
        <w:pStyle w:val="Compact"/>
      </w:pPr>
      <w:r>
        <w:t xml:space="preserve">National Academy of Sciences. (2023). *Mathematics Research Output Report: India 2015-2023*. New Delhi.</w:t>
      </w:r>
    </w:p>
    <w:p>
      <w:pPr>
        <w:numPr>
          <w:ilvl w:val="0"/>
          <w:numId w:val="1005"/>
        </w:numPr>
        <w:pStyle w:val="Compact"/>
      </w:pPr>
      <w:r>
        <w:t xml:space="preserve">Rao, A. (2019). Mathematics in Modern India: Institutions and Ideals. *Journal of South Asian Mathematics*, 7(3), 45-67.</w:t>
      </w:r>
    </w:p>
    <w:p>
      <w:pPr>
        <w:numPr>
          <w:ilvl w:val="0"/>
          <w:numId w:val="1005"/>
        </w:numPr>
        <w:pStyle w:val="Compact"/>
      </w:pPr>
      <w:r>
        <w:t xml:space="preserve">International Mathematical Union. (2022). *Global Survey of Mathematical Contributions from Asia*. Geneva.</w:t>
      </w:r>
    </w:p>
    <w:p>
      <w:pPr>
        <w:numPr>
          <w:ilvl w:val="0"/>
          <w:numId w:val="1005"/>
        </w:numPr>
        <w:pStyle w:val="Compact"/>
      </w:pPr>
      <w:r>
        <w:t xml:space="preserve">Department of Science &amp; Technology, India. (2023). *Women in Mathematics: National Report*. New Delhi.</w:t>
      </w:r>
    </w:p>
    <w:p>
      <w:pPr>
        <w:pStyle w:val="FirstParagraph"/>
      </w:pPr>
      <w:r>
        <w:rPr>
          <w:iCs/>
          <w:i/>
        </w:rPr>
        <w:t xml:space="preserve">This thesis proposal has been designed specifically for academic consideration at Mumbai University with relevance to the Indian mathematical landscape. All research components will be conducted within the geographical and cultural context of India Mumbai, ensuring authentic representation of local contributions by the Mathematician.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India Mumbai</dc:title>
  <dc:creator/>
  <dc:language>en</dc:language>
  <cp:keywords/>
  <dcterms:created xsi:type="dcterms:W3CDTF">2026-09-25T09:30:13Z</dcterms:created>
  <dcterms:modified xsi:type="dcterms:W3CDTF">2026-09-25T09:30:13Z</dcterms:modified>
</cp:coreProperties>
</file>

<file path=docProps/custom.xml><?xml version="1.0" encoding="utf-8"?>
<Properties xmlns="http://schemas.openxmlformats.org/officeDocument/2006/custom-properties" xmlns:vt="http://schemas.openxmlformats.org/officeDocument/2006/docPropsVTypes"/>
</file>