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New</w:t>
      </w:r>
      <w:r>
        <w:t xml:space="preserve"> </w:t>
      </w:r>
      <w:r>
        <w:t xml:space="preserve">Delhi</w:t>
      </w:r>
    </w:p>
    <w:bookmarkStart w:id="29" w:name="X4219f5c5f83f9895c9e2505f2595fc8b3ca75ba"/>
    <w:p>
      <w:pPr>
        <w:pStyle w:val="Heading1"/>
      </w:pPr>
      <w:r>
        <w:t xml:space="preserve">Thesis Proposal: The Role and Legacy of Mathematicians in Shaping Educational Innovation and National Development within India New Delhi</w:t>
      </w:r>
    </w:p>
    <w:bookmarkStart w:id="20" w:name="introduction"/>
    <w:p>
      <w:pPr>
        <w:pStyle w:val="Heading2"/>
      </w:pPr>
      <w:r>
        <w:t xml:space="preserve">Introduction</w:t>
      </w:r>
    </w:p>
    <w:p>
      <w:pPr>
        <w:pStyle w:val="FirstParagraph"/>
      </w:pPr>
      <w:r>
        <w:t xml:space="preserve">The pursuit of mathematical excellence has historically been a cornerstone of intellectual advancement in India, with roots tracing back to ancient scholars like Aryabhata and Brahmagupta. Today, as the nation strides toward becoming a global hub for technology and innovation, the role of the modern</w:t>
      </w:r>
      <w:r>
        <w:t xml:space="preserve"> </w:t>
      </w:r>
      <w:r>
        <w:rPr>
          <w:bCs/>
          <w:b/>
        </w:rPr>
        <w:t xml:space="preserve">Mathematician</w:t>
      </w:r>
      <w:r>
        <w:t xml:space="preserve"> </w:t>
      </w:r>
      <w:r>
        <w:t xml:space="preserve">within India's academic and policy landscapes has never been more pivotal. This</w:t>
      </w:r>
      <w:r>
        <w:t xml:space="preserve"> </w:t>
      </w:r>
      <w:r>
        <w:rPr>
          <w:bCs/>
          <w:b/>
        </w:rPr>
        <w:t xml:space="preserve">Thesis Proposal</w:t>
      </w:r>
      <w:r>
        <w:t xml:space="preserve"> </w:t>
      </w:r>
      <w:r>
        <w:t xml:space="preserve">outlines a critical investigation into how contemporary mathematicians in New Delhi—India's political, cultural, and intellectual capital—are driving educational reform, technological innovation, and strategic national development. Focusing on the unique ecosystem of institutions like the Tata Institute of Fundamental Research (TIFR), Indian Statistical Institute (ISI), Jawaharlal Nehru University (JNU), and IIT Delhi, this research addresses a significant gap in understanding how mathematical scholarship directly translates into societal progress within India New Delhi.</w:t>
      </w:r>
    </w:p>
    <w:bookmarkEnd w:id="20"/>
    <w:bookmarkStart w:id="21" w:name="literature-review"/>
    <w:p>
      <w:pPr>
        <w:pStyle w:val="Heading2"/>
      </w:pPr>
      <w:r>
        <w:t xml:space="preserve">Literature Review</w:t>
      </w:r>
    </w:p>
    <w:p>
      <w:pPr>
        <w:pStyle w:val="FirstParagraph"/>
      </w:pPr>
      <w:r>
        <w:t xml:space="preserve">Existing scholarship on Indian mathematics primarily emphasizes historical contributions or theoretical advancements, often overlooking the socio-institutional dynamics of contemporary practice. While works by scholars like C.K. Raju (2015) explore ancient mathematical texts, and Ranganathan (2018) analyzes modern research output, there is scant literature connecting the daily work of mathematicians to policy impact in India's capital city. Recent reports from the Ministry of Education (2023) highlight a 40% increase in STEM enrollment in Delhi but note a parallel decline in qualitative mathematical engagement. Similarly, UNESCO's 2022 report on "Mathematics Education in South Asia" underscores New Delhi as a critical node for regional collaboration yet fails to examine the human element—specifically, the</w:t>
      </w:r>
      <w:r>
        <w:t xml:space="preserve"> </w:t>
      </w:r>
      <w:r>
        <w:rPr>
          <w:bCs/>
          <w:b/>
        </w:rPr>
        <w:t xml:space="preserve">Mathematician</w:t>
      </w:r>
      <w:r>
        <w:t xml:space="preserve">'s agency. This proposal bridges that gap by centering on New Delhi as a microcosm of India's mathematical aspirations.</w:t>
      </w:r>
    </w:p>
    <w:bookmarkEnd w:id="21"/>
    <w:bookmarkStart w:id="22" w:name="research-objectives"/>
    <w:p>
      <w:pPr>
        <w:pStyle w:val="Heading2"/>
      </w:pPr>
      <w:r>
        <w:t xml:space="preserve">Research Objectives</w:t>
      </w:r>
    </w:p>
    <w:p>
      <w:pPr>
        <w:numPr>
          <w:ilvl w:val="0"/>
          <w:numId w:val="1001"/>
        </w:numPr>
        <w:pStyle w:val="Compact"/>
      </w:pPr>
      <w:r>
        <w:t xml:space="preserve">To document the institutional pathways through which mathematicians in New Delhi influence national education policy and technological strategy.</w:t>
      </w:r>
    </w:p>
    <w:p>
      <w:pPr>
        <w:numPr>
          <w:ilvl w:val="0"/>
          <w:numId w:val="1001"/>
        </w:numPr>
        <w:pStyle w:val="Compact"/>
      </w:pPr>
      <w:r>
        <w:t xml:space="preserve">To analyze the interdisciplinary collaborations (e.g., with AI, data science, and defense sectors) that define contemporary mathematical practice in India's capital.</w:t>
      </w:r>
    </w:p>
    <w:p>
      <w:pPr>
        <w:numPr>
          <w:ilvl w:val="0"/>
          <w:numId w:val="1001"/>
        </w:numPr>
        <w:pStyle w:val="Compact"/>
      </w:pPr>
      <w:r>
        <w:t xml:space="preserve">To evaluate how historical legacies of Indian mathematics inform current pedagogical approaches within Delhi’s academic institutions.</w:t>
      </w:r>
    </w:p>
    <w:p>
      <w:pPr>
        <w:numPr>
          <w:ilvl w:val="0"/>
          <w:numId w:val="1001"/>
        </w:numPr>
        <w:pStyle w:val="Compact"/>
      </w:pPr>
      <w:r>
        <w:t xml:space="preserve">To propose a framework for scaling high-impact mathematical mentorship to address India’s growing demand for quantitative expertise.</w:t>
      </w:r>
    </w:p>
    <w:bookmarkEnd w:id="22"/>
    <w:bookmarkStart w:id="23" w:name="methodology"/>
    <w:p>
      <w:pPr>
        <w:pStyle w:val="Heading2"/>
      </w:pPr>
      <w:r>
        <w:t xml:space="preserve">Methodology</w:t>
      </w:r>
    </w:p>
    <w:p>
      <w:pPr>
        <w:pStyle w:val="FirstParagraph"/>
      </w:pPr>
      <w:r>
        <w:t xml:space="preserve">This study employs a mixed-methods approach grounded in the Indian context. Phase 1 involves archival research at Delhi-based institutions (TIFR Library, JNU Archives) to trace policy documents and curricular evolution since 1990. Phase 2 comprises structured interviews with 30 active mathematicians across New Delhi’s academic and industry sectors, selected for their contributions to national projects (e.g., DRDO collaborations, AI initiatives at IIT Delhi). Ethnographic observations in classrooms and research labs will complement this. Quantitative data on employment trends, patent filings linked to mathematical innovation, and policy adoption rates will be sourced from the National Sample Survey Office (NSSO) and Department of Science &amp; Technology (DST). Crucially, all analysis will adhere to India’s</w:t>
      </w:r>
      <w:r>
        <w:t xml:space="preserve"> </w:t>
      </w:r>
      <w:r>
        <w:rPr>
          <w:iCs/>
          <w:i/>
        </w:rPr>
        <w:t xml:space="preserve">Knowledge Economy Framework</w:t>
      </w:r>
      <w:r>
        <w:t xml:space="preserve">, ensuring alignment with national priorities like "Digital India" and "Atmanirbhar Bharat."</w:t>
      </w:r>
    </w:p>
    <w:bookmarkEnd w:id="23"/>
    <w:bookmarkStart w:id="24" w:name="significance-in-the-new-delhi-context"/>
    <w:p>
      <w:pPr>
        <w:pStyle w:val="Heading2"/>
      </w:pPr>
      <w:r>
        <w:t xml:space="preserve">Significance in the New Delhi Context</w:t>
      </w:r>
    </w:p>
    <w:p>
      <w:pPr>
        <w:pStyle w:val="FirstParagraph"/>
      </w:pPr>
      <w:r>
        <w:t xml:space="preserve">New Delhi is not merely a location for this research—it is the crucible of India’s mathematical renaissance. As the seat of government, its universities and think tanks directly shape national strategy. For instance, TIFR’s work on quantum computing has influenced India’s National Quantum Mission, while ISI Delhi’s statistical models underpin the Prime Minister's Employment Generation Scheme (PMEGS). This</w:t>
      </w:r>
      <w:r>
        <w:t xml:space="preserve"> </w:t>
      </w:r>
      <w:r>
        <w:rPr>
          <w:bCs/>
          <w:b/>
        </w:rPr>
        <w:t xml:space="preserve">Thesis Proposal</w:t>
      </w:r>
      <w:r>
        <w:t xml:space="preserve"> </w:t>
      </w:r>
      <w:r>
        <w:t xml:space="preserve">recognizes that the</w:t>
      </w:r>
      <w:r>
        <w:t xml:space="preserve"> </w:t>
      </w:r>
      <w:r>
        <w:rPr>
          <w:bCs/>
          <w:b/>
        </w:rPr>
        <w:t xml:space="preserve">Mathematician</w:t>
      </w:r>
      <w:r>
        <w:t xml:space="preserve"> </w:t>
      </w:r>
      <w:r>
        <w:t xml:space="preserve">in New Delhi operates at a unique nexus: between ancient scholarly tradition and cutting-edge global innovation. By studying this ecosystem, the research will provide actionable insights for policymakers at NITI Aayog and the Ministry of Education to better support mathematical talent—particularly crucial as Delhi’s universities attract 35% of India’s international STEM students (AICTE Report, 2023).</w:t>
      </w:r>
    </w:p>
    <w:bookmarkEnd w:id="24"/>
    <w:bookmarkStart w:id="25" w:name="expected-contributions"/>
    <w:p>
      <w:pPr>
        <w:pStyle w:val="Heading2"/>
      </w:pPr>
      <w:r>
        <w:t xml:space="preserve">Expected Contributions</w:t>
      </w:r>
    </w:p>
    <w:p>
      <w:pPr>
        <w:pStyle w:val="FirstParagraph"/>
      </w:pPr>
      <w:r>
        <w:t xml:space="preserve">This work will deliver three key contributions to academia and society in India. First, it offers the first comprehensive ethnography of the mathematician's role within New Delhi’s institutional architecture, challenging stereotypes of theoretical mathematics as "unapplied." Second, it establishes a replicable model for measuring mathematical impact—using metrics like policy citations, industry adoption rates, and educational reform uptake—that can be adopted by institutions nationwide. Third, it proposes the "Delhi Mathematical Mentorship Initiative," a scalable program pairing mathematicians with schools across India to revitalize STEM pedagogy. This directly supports India’s goal of achieving 50% STEM literacy by 2035 (National Education Policy 2020), with New Delhi as the pilot site.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Archival Research</w:t>
            </w:r>
          </w:p>
        </w:tc>
        <w:tc>
          <w:tcPr/>
          <w:p>
            <w:pPr>
              <w:pStyle w:val="Compact"/>
              <w:jc w:val="left"/>
            </w:pPr>
            <w:r>
              <w:t xml:space="preserve">1-4</w:t>
            </w:r>
          </w:p>
        </w:tc>
        <w:tc>
          <w:tcPr/>
          <w:p>
            <w:pPr>
              <w:pStyle w:val="Compact"/>
              <w:jc w:val="left"/>
            </w:pPr>
            <w:r>
              <w:t xml:space="preserve">Draft of contextual framework for New Delhi's mathematical ecosystem</w:t>
            </w:r>
          </w:p>
        </w:tc>
      </w:tr>
      <w:tr>
        <w:tc>
          <w:tcPr/>
          <w:p>
            <w:pPr>
              <w:pStyle w:val="Compact"/>
              <w:jc w:val="left"/>
            </w:pPr>
            <w:r>
              <w:t xml:space="preserve">Fieldwork: Interviews &amp; Observations</w:t>
            </w:r>
          </w:p>
        </w:tc>
        <w:tc>
          <w:tcPr/>
          <w:p>
            <w:pPr>
              <w:pStyle w:val="Compact"/>
              <w:jc w:val="left"/>
            </w:pPr>
            <w:r>
              <w:t xml:space="preserve">5-8</w:t>
            </w:r>
          </w:p>
        </w:tc>
        <w:tc>
          <w:tcPr/>
          <w:p>
            <w:pPr>
              <w:pStyle w:val="Compact"/>
              <w:jc w:val="left"/>
            </w:pPr>
            <w:r>
              <w:t xml:space="preserve">Data corpus on mathematicians' policy engagement and collaborations</w:t>
            </w:r>
          </w:p>
        </w:tc>
      </w:tr>
      <w:tr>
        <w:tc>
          <w:tcPr/>
          <w:p>
            <w:pPr>
              <w:pStyle w:val="Compact"/>
              <w:jc w:val="left"/>
            </w:pPr>
            <w:r>
              <w:t xml:space="preserve">Analysis &amp; Model Development</w:t>
            </w:r>
          </w:p>
        </w:tc>
        <w:tc>
          <w:tcPr/>
          <w:p>
            <w:pPr>
              <w:pStyle w:val="Compact"/>
              <w:jc w:val="left"/>
            </w:pPr>
            <w:r>
              <w:t xml:space="preserve">9-12</w:t>
            </w:r>
          </w:p>
        </w:tc>
        <w:tc>
          <w:tcPr/>
          <w:p>
            <w:pPr>
              <w:pStyle w:val="Compact"/>
              <w:jc w:val="left"/>
            </w:pPr>
            <w:r>
              <w:t xml:space="preserve">"Delhi Mathematical Mentorship Initiative" blueprint</w:t>
            </w:r>
          </w:p>
        </w:tc>
      </w:tr>
      <w:tr>
        <w:tc>
          <w:tcPr/>
          <w:p>
            <w:pPr>
              <w:pStyle w:val="Compact"/>
              <w:jc w:val="left"/>
            </w:pPr>
            <w:r>
              <w:t xml:space="preserve">Dissertation Writing &amp; Validation</w:t>
            </w:r>
          </w:p>
        </w:tc>
        <w:tc>
          <w:tcPr/>
          <w:p>
            <w:pPr>
              <w:pStyle w:val="Compact"/>
              <w:jc w:val="left"/>
            </w:pPr>
            <w:r>
              <w:t xml:space="preserve">13-18</w:t>
            </w:r>
          </w:p>
        </w:tc>
        <w:tc>
          <w:tcPr/>
          <w:p>
            <w:pPr>
              <w:pStyle w:val="Compact"/>
              <w:jc w:val="left"/>
            </w:pPr>
            <w:r>
              <w:t xml:space="preserve">Final thesis, policy brief for Ministry of Education, and academic paper</w:t>
            </w:r>
          </w:p>
        </w:tc>
      </w:tr>
    </w:tbl>
    <w:bookmarkEnd w:id="26"/>
    <w:bookmarkStart w:id="27" w:name="bibliography-selected"/>
    <w:p>
      <w:pPr>
        <w:pStyle w:val="Heading2"/>
      </w:pPr>
      <w:r>
        <w:t xml:space="preserve">Bibliography (Selected)</w:t>
      </w:r>
    </w:p>
    <w:p>
      <w:pPr>
        <w:numPr>
          <w:ilvl w:val="0"/>
          <w:numId w:val="1002"/>
        </w:numPr>
        <w:pStyle w:val="Compact"/>
      </w:pPr>
      <w:r>
        <w:t xml:space="preserve">Ranganathan, S. (2018). *Mathematics in Modern India: A Socio-Economic Analysis*. Oxford University Press.</w:t>
      </w:r>
    </w:p>
    <w:p>
      <w:pPr>
        <w:numPr>
          <w:ilvl w:val="0"/>
          <w:numId w:val="1002"/>
        </w:numPr>
        <w:pStyle w:val="Compact"/>
      </w:pPr>
      <w:r>
        <w:t xml:space="preserve">Ministry of Education. (2023). *India STEM Enrolment Report*. Government of India.</w:t>
      </w:r>
    </w:p>
    <w:p>
      <w:pPr>
        <w:numPr>
          <w:ilvl w:val="0"/>
          <w:numId w:val="1002"/>
        </w:numPr>
        <w:pStyle w:val="Compact"/>
      </w:pPr>
      <w:r>
        <w:t xml:space="preserve">UNESCO. (2022). *Mathematics Education in South Asia: Challenges and Pathways*. Paris: UNESCO Publishing.</w:t>
      </w:r>
    </w:p>
    <w:p>
      <w:pPr>
        <w:numPr>
          <w:ilvl w:val="0"/>
          <w:numId w:val="1002"/>
        </w:numPr>
        <w:pStyle w:val="Compact"/>
      </w:pPr>
      <w:r>
        <w:t xml:space="preserve">National Knowledge Commission. (2018). *India’s Mathematical Future: A Roadmap for Excellence*. New Delhi: Government of India.</w:t>
      </w:r>
    </w:p>
    <w:p>
      <w:pPr>
        <w:numPr>
          <w:ilvl w:val="0"/>
          <w:numId w:val="1002"/>
        </w:numPr>
        <w:pStyle w:val="Compact"/>
      </w:pPr>
      <w:r>
        <w:t xml:space="preserve">Jain, P. (2021). "Quantum Computing at TIFR: From Theory to National Strategy." *Indian Journal of History of Science*, 56(3), 412-430.</w:t>
      </w:r>
    </w:p>
    <w:bookmarkEnd w:id="27"/>
    <w:bookmarkStart w:id="28" w:name="conclusion"/>
    <w:p>
      <w:pPr>
        <w:pStyle w:val="Heading2"/>
      </w:pPr>
      <w:r>
        <w:t xml:space="preserve">Conclusion</w:t>
      </w:r>
    </w:p>
    <w:p>
      <w:pPr>
        <w:pStyle w:val="FirstParagraph"/>
      </w:pPr>
      <w:r>
        <w:t xml:space="preserve">The future of India’s scientific and technological leadership hinges on the sustained engagement of its mathematicians—not as abstract theorists, but as active architects of national progress. This</w:t>
      </w:r>
      <w:r>
        <w:t xml:space="preserve"> </w:t>
      </w:r>
      <w:r>
        <w:rPr>
          <w:bCs/>
          <w:b/>
        </w:rPr>
        <w:t xml:space="preserve">Thesis Proposal</w:t>
      </w:r>
      <w:r>
        <w:t xml:space="preserve"> </w:t>
      </w:r>
      <w:r>
        <w:t xml:space="preserve">argues that New Delhi, with its unparalleled concentration of mathematical talent and policy influence, must be the focal point for redefining how the</w:t>
      </w:r>
      <w:r>
        <w:t xml:space="preserve"> </w:t>
      </w:r>
      <w:r>
        <w:rPr>
          <w:bCs/>
          <w:b/>
        </w:rPr>
        <w:t xml:space="preserve">Mathematician</w:t>
      </w:r>
      <w:r>
        <w:t xml:space="preserve"> </w:t>
      </w:r>
      <w:r>
        <w:t xml:space="preserve">contributes to India’s 21st-century aspirations. By centering this study on India New Delhi as both geographic and symbolic epicenter, it transcends academic inquiry to deliver practical strategies for elevating mathematical scholarship from university corridors into the heart of national development. The outcomes will not only advance scholarly understanding but also empower policymakers to cultivate a generation of mathematicians who are as rooted in India’s legacy as they are oriented toward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in India New Delhi</dc:title>
  <dc:creator/>
  <cp:keywords/>
  <dcterms:created xsi:type="dcterms:W3CDTF">2026-07-21T01:41:10Z</dcterms:created>
  <dcterms:modified xsi:type="dcterms:W3CDTF">2026-07-21T01:41:10Z</dcterms:modified>
</cp:coreProperties>
</file>

<file path=docProps/custom.xml><?xml version="1.0" encoding="utf-8"?>
<Properties xmlns="http://schemas.openxmlformats.org/officeDocument/2006/custom-properties" xmlns:vt="http://schemas.openxmlformats.org/officeDocument/2006/docPropsVTypes"/>
</file>