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Iran</w:t>
      </w:r>
      <w:r>
        <w:t xml:space="preserve"> </w:t>
      </w:r>
      <w:r>
        <w:t xml:space="preserve">Tehran</w:t>
      </w:r>
    </w:p>
    <w:bookmarkStart w:id="20" w:name="X4fd2fb0a3a62af20fbd8a8f9f7af782477b4248"/>
    <w:p>
      <w:pPr>
        <w:pStyle w:val="Heading1"/>
      </w:pPr>
      <w:r>
        <w:t xml:space="preserve">Thesis Proposal: Cultivating Excellence in Mathematical Education and Innovation at University of Tehran, Iran</w:t>
      </w:r>
    </w:p>
    <w:p>
      <w:pPr>
        <w:pStyle w:val="FirstParagraph"/>
      </w:pPr>
      <w:r>
        <w:rPr>
          <w:bCs/>
          <w:b/>
        </w:rPr>
        <w:t xml:space="preserve">Introduction:</w:t>
      </w:r>
    </w:p>
    <w:p>
      <w:pPr>
        <w:pStyle w:val="BodyText"/>
      </w:pPr>
      <w:r>
        <w:t xml:space="preserve">In the vibrant academic landscape of</w:t>
      </w:r>
      <w:r>
        <w:t xml:space="preserve"> </w:t>
      </w:r>
      <w:r>
        <w:rPr>
          <w:iCs/>
          <w:i/>
        </w:rPr>
        <w:t xml:space="preserve">Iran Tehran</w:t>
      </w:r>
      <w:r>
        <w:t xml:space="preserve">, where intellectual tradition meets modern scientific inquiry, this Thesis Proposal establishes a critical framework for advancing mathematical scholarship. As Iran's premier educational hub, Tehran hosts world-class institutions like the University of Tehran and Sharif University of Technology, which have nurtured generations of mathematicians. However, persistent challenges in curriculum modernization and research infrastructure demand innovative solutions from dedicated</w:t>
      </w:r>
      <w:r>
        <w:t xml:space="preserve"> </w:t>
      </w:r>
      <w:r>
        <w:rPr>
          <w:iCs/>
          <w:i/>
        </w:rPr>
        <w:t xml:space="preserve">Mathematician</w:t>
      </w:r>
      <w:r>
        <w:t xml:space="preserve"> </w:t>
      </w:r>
      <w:r>
        <w:t xml:space="preserve">scholars. This proposal outlines a comprehensive doctoral research project focused on developing cutting-edge mathematical pedagogy tailored to Iran's educational context, with the University of Tehran serving as the primary research ecosystem. The study directly addresses national priorities outlined in Iran's Sixth Five-Year Development Plan, which emphasizes STEM excellence as a cornerstone for sustainable development.</w:t>
      </w:r>
    </w:p>
    <w:p>
      <w:pPr>
        <w:pStyle w:val="BodyText"/>
      </w:pPr>
      <w:r>
        <w:rPr>
          <w:bCs/>
          <w:b/>
        </w:rPr>
        <w:t xml:space="preserve">Context and Significance:</w:t>
      </w:r>
    </w:p>
    <w:p>
      <w:pPr>
        <w:pStyle w:val="BodyText"/>
      </w:pPr>
      <w:r>
        <w:t xml:space="preserve">The strategic importance of mathematical proficiency cannot be overstated in Iran's socio-economic advancement. Tehran, as the nation's scientific capital, faces dual pressures: maintaining global competitiveness while preserving cultural relevance in mathematics education. Current curricula often prioritize rote learning over problem-solving innovation—a gap this Thesis Proposal aims to bridge. A dedicated</w:t>
      </w:r>
      <w:r>
        <w:t xml:space="preserve"> </w:t>
      </w:r>
      <w:r>
        <w:rPr>
          <w:iCs/>
          <w:i/>
        </w:rPr>
        <w:t xml:space="preserve">Mathematician</w:t>
      </w:r>
      <w:r>
        <w:t xml:space="preserve"> </w:t>
      </w:r>
      <w:r>
        <w:t xml:space="preserve">conducting fieldwork in Tehran must address three critical dimensions: (1) modernizing undergraduate mathematics training aligned with international standards, (2) integrating computational tools into theoretical instruction, and (3) fostering research collaboration between Tehran's institutions and global mathematical communities. The urgency is amplified by Iran's rising enrollment in STEM fields—over 65% of university students now pursue technical disciplines—and the need to convert this potential into meaningful innovation.</w:t>
      </w:r>
    </w:p>
    <w:p>
      <w:pPr>
        <w:pStyle w:val="BodyText"/>
      </w:pPr>
      <w:r>
        <w:rPr>
          <w:bCs/>
          <w:b/>
        </w:rPr>
        <w:t xml:space="preserve">Literature Review:</w:t>
      </w:r>
    </w:p>
    <w:p>
      <w:pPr>
        <w:pStyle w:val="BodyText"/>
      </w:pPr>
      <w:r>
        <w:t xml:space="preserve">Existing scholarship on mathematics education in Iran reveals significant gaps. Studies by Mohammadi (2018) documented 47% of Tehran high schools using outdated textbooks, while a UNESCO report (2021) noted Iran's STEM graduate output lags behind regional peers despite high enrollment. Meanwhile, international models like Singapore's "Mathematical Thinking Framework" and Finland's inquiry-based learning offer promising pathways. Crucially, no comprehensive research has yet examined how to adapt such frameworks within Iran Tehran's unique socio-cultural context—where class sizes average 45 students per lecture and digital infrastructure varies significantly across districts. This Thesis Proposal directly confronts this void by positioning the researcher as a</w:t>
      </w:r>
      <w:r>
        <w:t xml:space="preserve"> </w:t>
      </w:r>
      <w:r>
        <w:rPr>
          <w:iCs/>
          <w:i/>
        </w:rPr>
        <w:t xml:space="preserve">Mathematician</w:t>
      </w:r>
      <w:r>
        <w:t xml:space="preserve"> </w:t>
      </w:r>
      <w:r>
        <w:t xml:space="preserve">embedded within Tehran's educational ecosystem, conducting ethnographic studies across five University of Tehran faculties.</w:t>
      </w:r>
    </w:p>
    <w:p>
      <w:pPr>
        <w:pStyle w:val="BodyText"/>
      </w:pPr>
      <w:r>
        <w:rPr>
          <w:bCs/>
          <w:b/>
        </w:rPr>
        <w:t xml:space="preserve">Research Objectives:</w:t>
      </w:r>
    </w:p>
    <w:p>
      <w:pPr>
        <w:numPr>
          <w:ilvl w:val="0"/>
          <w:numId w:val="1001"/>
        </w:numPr>
        <w:pStyle w:val="Compact"/>
      </w:pPr>
      <w:r>
        <w:t xml:space="preserve">To analyze current mathematical curricula at University of Tehran through the lens of global standards (e.g., MAA and ICMI frameworks)</w:t>
      </w:r>
    </w:p>
    <w:p>
      <w:pPr>
        <w:numPr>
          <w:ilvl w:val="0"/>
          <w:numId w:val="1001"/>
        </w:numPr>
        <w:pStyle w:val="Compact"/>
      </w:pPr>
      <w:r>
        <w:t xml:space="preserve">To design and pilot a culturally responsive computational mathematics module for Tehran's undergraduate students</w:t>
      </w:r>
    </w:p>
    <w:p>
      <w:pPr>
        <w:numPr>
          <w:ilvl w:val="0"/>
          <w:numId w:val="1001"/>
        </w:numPr>
        <w:pStyle w:val="Compact"/>
      </w:pPr>
      <w:r>
        <w:t xml:space="preserve">To establish a research network connecting Iranian mathematicians with international counterparts via virtual seminars based in Tehran</w:t>
      </w:r>
    </w:p>
    <w:p>
      <w:pPr>
        <w:numPr>
          <w:ilvl w:val="0"/>
          <w:numId w:val="1001"/>
        </w:numPr>
        <w:pStyle w:val="Compact"/>
      </w:pPr>
      <w:r>
        <w:t xml:space="preserve">To develop policy recommendations for Iran's Ministry of Science, Research and Technology through evidence gathered in Tehran</w:t>
      </w:r>
    </w:p>
    <w:p>
      <w:pPr>
        <w:pStyle w:val="FirstParagraph"/>
      </w:pPr>
      <w:r>
        <w:rPr>
          <w:bCs/>
          <w:b/>
        </w:rPr>
        <w:t xml:space="preserve">Methodology:</w:t>
      </w:r>
    </w:p>
    <w:p>
      <w:pPr>
        <w:pStyle w:val="BodyText"/>
      </w:pPr>
      <w:r>
        <w:t xml:space="preserve">This mixed-methods research employs a 24-month action-research cycle within Iran Tehran. Phase 1 (Months 1-6) involves ethnographic observation across five mathematics departments at University of Tehran, collecting data via classroom recordings (with ethical approval), teacher interviews, and student focus groups. Phase 2 (Months 7-15) focuses on developing a modular curriculum—integrating Iranian mathematical history with computational tools like Python and LaTeX—to be tested in three Tehran classrooms through randomized controlled trials. Crucially, the</w:t>
      </w:r>
      <w:r>
        <w:t xml:space="preserve"> </w:t>
      </w:r>
      <w:r>
        <w:rPr>
          <w:iCs/>
          <w:i/>
        </w:rPr>
        <w:t xml:space="preserve">Mathematician</w:t>
      </w:r>
      <w:r>
        <w:t xml:space="preserve"> </w:t>
      </w:r>
      <w:r>
        <w:t xml:space="preserve">researcher will collaborate with Tehran-based institutions including the Institute for Studies in Theoretical Physics and Mathematics (IPM) to ensure cultural relevance. Phase 3 (Months 16-24) entails policy workshops with Iran's Ministry of Education and dissemination through Tehran-hosted conferences like the Iranian Mathematical Society Annual Meeting.</w:t>
      </w:r>
    </w:p>
    <w:p>
      <w:pPr>
        <w:pStyle w:val="BodyText"/>
      </w:pPr>
      <w:r>
        <w:rPr>
          <w:bCs/>
          <w:b/>
        </w:rPr>
        <w:t xml:space="preserve">Expected Outcomes:</w:t>
      </w:r>
    </w:p>
    <w:p>
      <w:pPr>
        <w:pStyle w:val="BodyText"/>
      </w:pPr>
      <w:r>
        <w:t xml:space="preserve">This Thesis Proposal anticipates transformative impacts for mathematics in Iran Tehran. Primary outputs include: (1) A validated curriculum framework published in both Persian and English, available to all Tehran universities; (2) A digital repository of open-source teaching materials developed with IPM's computational team; (3) An established annual "Tehran Mathematical Innovation Forum" to sustain post-thesis collaboration. Quantitatively, we project a 30% improvement in student conceptual understanding (measured via pre/post-tests at Tehran institutions) and the creation of 15 new research partnerships between Iranian and international mathematicians. The work will directly support Iran's Vision 2030 goals for scientific self-sufficiency while positioning Tehran as a regional hub for mathematics education reform.</w:t>
      </w:r>
    </w:p>
    <w:p>
      <w:pPr>
        <w:pStyle w:val="BodyText"/>
      </w:pPr>
      <w:r>
        <w:rPr>
          <w:bCs/>
          <w:b/>
        </w:rPr>
        <w:t xml:space="preserve">Timeline and Feasibility:</w:t>
      </w:r>
    </w:p>
    <w:p>
      <w:pPr>
        <w:pStyle w:val="BodyText"/>
      </w:pPr>
      <w:r>
        <w:t xml:space="preserve">Conducting this research in Iran Tehran is exceptionally feasible due to existing institutional support. The University of Tehran's Center for Educational Innovation has already committed space and faculty access. Fieldwork will leverage the researcher's 2-year teaching experience at Tehran University of Medical Sciences, ensuring cultural fluency. Critical path activities include securing ethics approval (Month 2), curriculum development with IPM (Months 3-9), and student trials (Months 10-15). The budget—primarily covering software licenses, travel within Tehran for school visits, and workshop logistics—aligns with Iran's National Science Foundation funding criteria. Import restrictions on academic materials are mitigated through partnerships with local tech firms like Payame Noor University's IT department.</w:t>
      </w:r>
    </w:p>
    <w:p>
      <w:pPr>
        <w:pStyle w:val="BodyText"/>
      </w:pPr>
      <w:r>
        <w:rPr>
          <w:bCs/>
          <w:b/>
        </w:rPr>
        <w:t xml:space="preserve">Conclusion:</w:t>
      </w:r>
    </w:p>
    <w:p>
      <w:pPr>
        <w:pStyle w:val="BodyText"/>
      </w:pPr>
      <w:r>
        <w:t xml:space="preserve">This Thesis Proposal represents a pivotal contribution to mathematical scholarship in Iran Tehran. By centering the work of a dedicated</w:t>
      </w:r>
      <w:r>
        <w:t xml:space="preserve"> </w:t>
      </w:r>
      <w:r>
        <w:rPr>
          <w:iCs/>
          <w:i/>
        </w:rPr>
        <w:t xml:space="preserve">Mathematician</w:t>
      </w:r>
      <w:r>
        <w:t xml:space="preserve"> </w:t>
      </w:r>
      <w:r>
        <w:t xml:space="preserve">within Iran's educational heartland, it transcends theoretical research to drive tangible change. The study directly addresses systemic challenges in Tehran's mathematics education while building sustainable capacity for future Iranian mathematicians. As the nation advances its scientific ambitions, this research will provide an actionable blueprint for modernizing mathematical instruction—not through imported models alone, but through a hybrid approach forged in Tehran's unique academic environment. Ultimately, this Thesis Proposal seeks not merely to complete a doctoral requirement, but to ignite lasting innovation in mathematics education across Iran.</w:t>
      </w:r>
    </w:p>
    <w:p>
      <w:pPr>
        <w:pStyle w:val="BodyText"/>
      </w:pPr>
      <w:r>
        <w:rPr>
          <w:bCs/>
          <w:b/>
        </w:rPr>
        <w:t xml:space="preserve">References (Selected):</w:t>
      </w:r>
    </w:p>
    <w:p>
      <w:pPr>
        <w:numPr>
          <w:ilvl w:val="0"/>
          <w:numId w:val="1002"/>
        </w:numPr>
        <w:pStyle w:val="Compact"/>
      </w:pPr>
      <w:r>
        <w:t xml:space="preserve">Mohammadi, A. (2018). *Mathematics Curriculum Gaps in Tehran High Schools*. Iranian Journal of Educational Research, 12(3), 45-62.</w:t>
      </w:r>
    </w:p>
    <w:p>
      <w:pPr>
        <w:numPr>
          <w:ilvl w:val="0"/>
          <w:numId w:val="1002"/>
        </w:numPr>
        <w:pStyle w:val="Compact"/>
      </w:pPr>
      <w:r>
        <w:t xml:space="preserve">UNESCO. (2021). *STEM Education Trends in the Middle East*. Paris: UNESCO Publishing.</w:t>
      </w:r>
    </w:p>
    <w:p>
      <w:pPr>
        <w:numPr>
          <w:ilvl w:val="0"/>
          <w:numId w:val="1002"/>
        </w:numPr>
        <w:pStyle w:val="Compact"/>
      </w:pPr>
      <w:r>
        <w:t xml:space="preserve">Iran Ministry of Science. (2019). *Sixth Five-Year Development Plan: Science and Technology Chapter*. Tehran.</w:t>
      </w:r>
    </w:p>
    <w:p>
      <w:pPr>
        <w:numPr>
          <w:ilvl w:val="0"/>
          <w:numId w:val="1002"/>
        </w:numPr>
        <w:pStyle w:val="Compact"/>
      </w:pPr>
      <w:r>
        <w:t xml:space="preserve">Rahimi, M., &amp; Fathi, S. (2022). "Adapting Computational Thinking in Iranian Classrooms." *Journal of Mathematics Education*, 15(4), 78-95.</w:t>
      </w:r>
    </w:p>
    <w:p>
      <w:pPr>
        <w:pStyle w:val="FirstParagraph"/>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Iran Tehran</dc:title>
  <dc:creator/>
  <dc:language>en</dc:language>
  <cp:keywords/>
  <dcterms:created xsi:type="dcterms:W3CDTF">2026-07-09T05:40:14Z</dcterms:created>
  <dcterms:modified xsi:type="dcterms:W3CDTF">2026-07-09T05:40:14Z</dcterms:modified>
</cp:coreProperties>
</file>

<file path=docProps/custom.xml><?xml version="1.0" encoding="utf-8"?>
<Properties xmlns="http://schemas.openxmlformats.org/officeDocument/2006/custom-properties" xmlns:vt="http://schemas.openxmlformats.org/officeDocument/2006/docPropsVTypes"/>
</file>