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Kazakh</w:t>
      </w:r>
      <w:r>
        <w:t xml:space="preserve"> </w:t>
      </w:r>
      <w:r>
        <w:t xml:space="preserve">Mathematicians</w:t>
      </w:r>
      <w:r>
        <w:t xml:space="preserve"> </w:t>
      </w:r>
      <w:r>
        <w:t xml:space="preserve">in</w:t>
      </w:r>
      <w:r>
        <w:t xml:space="preserve"> </w:t>
      </w:r>
      <w:r>
        <w:t xml:space="preserve">Almaty</w:t>
      </w:r>
    </w:p>
    <w:bookmarkStart w:id="29" w:name="X47f6bb54acce5c417128a4857b6dadc55430c6f"/>
    <w:p>
      <w:pPr>
        <w:pStyle w:val="Heading1"/>
      </w:pPr>
      <w:r>
        <w:t xml:space="preserve">Thesis Proposal: Advancing Mathematical Excellence Through the Lens of Kazakhstan Almaty's Intellectual Heritage</w:t>
      </w:r>
    </w:p>
    <w:p>
      <w:pPr>
        <w:pStyle w:val="FirstParagraph"/>
      </w:pPr>
      <w:r>
        <w:rPr>
          <w:bCs/>
          <w:b/>
        </w:rPr>
        <w:t xml:space="preserve">Submitted to:</w:t>
      </w:r>
      <w:r>
        <w:t xml:space="preserve"> </w:t>
      </w:r>
      <w:r>
        <w:t xml:space="preserve">Department of Mathematics, School of Natural Sciences, Nazarbayev University, Almaty</w:t>
      </w:r>
    </w:p>
    <w:p>
      <w:pPr>
        <w:pStyle w:val="BodyText"/>
      </w:pPr>
      <w:r>
        <w:rPr>
          <w:bCs/>
          <w:b/>
        </w:rPr>
        <w:t xml:space="preserve">Date:</w:t>
      </w:r>
      <w:r>
        <w:t xml:space="preserve"> </w:t>
      </w:r>
      <w:r>
        <w:t xml:space="preserve">October 26, 2023</w:t>
      </w:r>
    </w:p>
    <w:bookmarkStart w:id="20" w:name="X9eb83f5ce8d2c0f972b89f8f5c40538b15bb197"/>
    <w:p>
      <w:pPr>
        <w:pStyle w:val="Heading2"/>
      </w:pPr>
      <w:r>
        <w:t xml:space="preserve">I. Introduction: Mathematics as Kazakhstan's Intellectual Cornerstone</w:t>
      </w:r>
    </w:p>
    <w:p>
      <w:pPr>
        <w:pStyle w:val="FirstParagraph"/>
      </w:pPr>
      <w:r>
        <w:t xml:space="preserve">In the vibrant academic landscape of Kazakhstan Almaty, mathematics stands as a cornerstone of scientific progress and national identity. This Thesis Proposal investigates the profound contributions of Kazakh mathematicians to global mathematical discourse while emphasizing their enduring legacy within Kazakhstan Almaty. As the nation accelerates its vision toward becoming a knowledge-based economy under "Kazakhstan 2050," understanding the historical and contemporary roles of local mathematicians becomes imperative for shaping future educational frameworks and research priorities. This study positions Kazakhstan Almaty not merely as a geographical location but as a dynamic hub where indigenous mathematical talent converges with international scholarly networks, fostering innovation that resonates across Central Asia.</w:t>
      </w:r>
    </w:p>
    <w:bookmarkEnd w:id="20"/>
    <w:bookmarkStart w:id="21" w:name="Xe7e0f7d15869649de308c14b5c976f72a5f10c0"/>
    <w:p>
      <w:pPr>
        <w:pStyle w:val="Heading2"/>
      </w:pPr>
      <w:r>
        <w:t xml:space="preserve">II. Research Problem: The Uncharted Legacy of Local Mathematicians</w:t>
      </w:r>
    </w:p>
    <w:p>
      <w:pPr>
        <w:pStyle w:val="FirstParagraph"/>
      </w:pPr>
      <w:r>
        <w:t xml:space="preserve">Despite Kazakhstan’s rich intellectual history, the narratives of Kazakh mathematicians remain underdocumented in global academic circles. While institutions like Al-Farabi Kazakh National University and Nazarbayev University have produced world-class mathematical research, the foundational work of pioneering figures rooted in Kazakhstan Almaty has been marginalized in both domestic curricula and international publications. This gap is critical: without systematic preservation of these contributions, future generations risk losing vital cultural context for mathematical development. The central problem this thesis addresses is: *How can we formally document, contextualize, and integrate the scholarly legacy of Kazakh mathematicians from Kazakhstan Almaty into contemporary educational systems to inspire new generations of STEM leaders?*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Historical Documentation:</w:t>
      </w:r>
      <w:r>
        <w:t xml:space="preserve"> </w:t>
      </w:r>
      <w:r>
        <w:t xml:space="preserve">Catalogue key works, teaching philosophies, and institutional impacts of 5–7 pivotal mathematicians based in Kazakhstan Almaty from the Soviet era to present (e.g., Professor A. Zhumagulov’s topology contributions at KNU in the 1970s).</w:t>
      </w:r>
    </w:p>
    <w:p>
      <w:pPr>
        <w:numPr>
          <w:ilvl w:val="0"/>
          <w:numId w:val="1001"/>
        </w:numPr>
        <w:pStyle w:val="Compact"/>
      </w:pPr>
      <w:r>
        <w:rPr>
          <w:bCs/>
          <w:b/>
        </w:rPr>
        <w:t xml:space="preserve">Cultural Contextualization:</w:t>
      </w:r>
      <w:r>
        <w:t xml:space="preserve"> </w:t>
      </w:r>
      <w:r>
        <w:t xml:space="preserve">Analyze how Kazakh cultural epistemology (e.g., oral mathematical traditions) influenced modern research approaches within Kazakhstan Almaty.</w:t>
      </w:r>
    </w:p>
    <w:p>
      <w:pPr>
        <w:numPr>
          <w:ilvl w:val="0"/>
          <w:numId w:val="1001"/>
        </w:numPr>
        <w:pStyle w:val="Compact"/>
      </w:pPr>
      <w:r>
        <w:rPr>
          <w:bCs/>
          <w:b/>
        </w:rPr>
        <w:t xml:space="preserve">Policy Integration:</w:t>
      </w:r>
      <w:r>
        <w:t xml:space="preserve"> </w:t>
      </w:r>
      <w:r>
        <w:t xml:space="preserve">Develop a framework for embedding mathematicians' legacies into national STEM curricula, with pilot implementation at selected schools in Kazakhstan Almaty.</w:t>
      </w:r>
    </w:p>
    <w:p>
      <w:pPr>
        <w:numPr>
          <w:ilvl w:val="0"/>
          <w:numId w:val="1001"/>
        </w:numPr>
        <w:pStyle w:val="Compact"/>
      </w:pPr>
      <w:r>
        <w:rPr>
          <w:bCs/>
          <w:b/>
        </w:rPr>
        <w:t xml:space="preserve">Network Mapping:</w:t>
      </w:r>
      <w:r>
        <w:t xml:space="preserve"> </w:t>
      </w:r>
      <w:r>
        <w:t xml:space="preserve">Trace the professional trajectories of Kazakh mathematicians from Almaty to global institutions (e.g., International Congress of Mathematicians speakers) to assess diaspora knowledge flows.</w:t>
      </w:r>
    </w:p>
    <w:bookmarkEnd w:id="22"/>
    <w:bookmarkStart w:id="23" w:name="Xa3557c148753b5b1e219c7272f1fa5cb7a65a50"/>
    <w:p>
      <w:pPr>
        <w:pStyle w:val="Heading2"/>
      </w:pPr>
      <w:r>
        <w:t xml:space="preserve">IV. Literature Review: Bridging Local and Global Discourse</w:t>
      </w:r>
    </w:p>
    <w:p>
      <w:pPr>
        <w:pStyle w:val="FirstParagraph"/>
      </w:pPr>
      <w:r>
        <w:t xml:space="preserve">Existing scholarship on Central Asian mathematics primarily focuses on Russian-language sources or Western perspectives lacking cultural nuance (Kazakhstan, 2018). Works by G. V. Belyavskaya (1995) examine Soviet-era mathematical training but ignore post-independence narratives. Recent studies from Almaty’s KIMEP University (Sultangaliyev, 2021) highlight STEM education gaps but omit historical continuity. This thesis uniquely addresses the void by centering Kazakh mathematicians as active agents of knowledge creation rather than passive recipients of foreign models. It aligns with UNESCO’s call for "decolonizing science education" while leveraging Kazakhstan Almaty’s position as a bridge between Eurasian academic traditions.</w:t>
      </w:r>
    </w:p>
    <w:bookmarkEnd w:id="23"/>
    <w:bookmarkStart w:id="24" w:name="X9b8fa36eee7a8b255ba2f9d9b655480bbcfd629"/>
    <w:p>
      <w:pPr>
        <w:pStyle w:val="Heading2"/>
      </w:pPr>
      <w:r>
        <w:t xml:space="preserve">V. Methodology: An Interdisciplinary Approach</w:t>
      </w:r>
    </w:p>
    <w:p>
      <w:pPr>
        <w:pStyle w:val="FirstParagraph"/>
      </w:pPr>
      <w:r>
        <w:t xml:space="preserve">The research employs a mixed-methods design:</w:t>
      </w:r>
    </w:p>
    <w:p>
      <w:pPr>
        <w:numPr>
          <w:ilvl w:val="0"/>
          <w:numId w:val="1002"/>
        </w:numPr>
        <w:pStyle w:val="Compact"/>
      </w:pPr>
      <w:r>
        <w:rPr>
          <w:bCs/>
          <w:b/>
        </w:rPr>
        <w:t xml:space="preserve">Archival Research:</w:t>
      </w:r>
      <w:r>
        <w:t xml:space="preserve"> </w:t>
      </w:r>
      <w:r>
        <w:t xml:space="preserve">Digitizing manuscripts from Kazakhstan Almaty’s National Library and university collections (e.g., traces of A. Abilov’s 1960s number theory papers).</w:t>
      </w:r>
    </w:p>
    <w:p>
      <w:pPr>
        <w:numPr>
          <w:ilvl w:val="0"/>
          <w:numId w:val="1002"/>
        </w:numPr>
        <w:pStyle w:val="Compact"/>
      </w:pPr>
      <w:r>
        <w:rPr>
          <w:bCs/>
          <w:b/>
        </w:rPr>
        <w:t xml:space="preserve">Oral Histories:</w:t>
      </w:r>
      <w:r>
        <w:t xml:space="preserve"> </w:t>
      </w:r>
      <w:r>
        <w:t xml:space="preserve">Interviews with retired mathematicians at KazNU (e.g., Prof. T. Sarsembaev, now 85) and their students.</w:t>
      </w:r>
    </w:p>
    <w:p>
      <w:pPr>
        <w:numPr>
          <w:ilvl w:val="0"/>
          <w:numId w:val="1002"/>
        </w:numPr>
        <w:pStyle w:val="Compact"/>
      </w:pPr>
      <w:r>
        <w:rPr>
          <w:bCs/>
          <w:b/>
        </w:rPr>
        <w:t xml:space="preserve">Action Research:</w:t>
      </w:r>
      <w:r>
        <w:t xml:space="preserve"> </w:t>
      </w:r>
      <w:r>
        <w:t xml:space="preserve">Co-designing a "Mathematician of the Month" curriculum module with Almaty schools, tested across 3 districts.</w:t>
      </w:r>
    </w:p>
    <w:p>
      <w:pPr>
        <w:numPr>
          <w:ilvl w:val="0"/>
          <w:numId w:val="1002"/>
        </w:numPr>
        <w:pStyle w:val="Compact"/>
      </w:pPr>
      <w:r>
        <w:rPr>
          <w:bCs/>
          <w:b/>
        </w:rPr>
        <w:t xml:space="preserve">Citation Analysis:</w:t>
      </w:r>
      <w:r>
        <w:t xml:space="preserve"> </w:t>
      </w:r>
      <w:r>
        <w:t xml:space="preserve">Using Scopus to track global citations of Kazakhstan-based mathematicians from 1990–2023.</w:t>
      </w:r>
    </w:p>
    <w:p>
      <w:pPr>
        <w:pStyle w:val="FirstParagraph"/>
      </w:pPr>
      <w:r>
        <w:t xml:space="preserve">Triangulation ensures methodological rigor while centering local voices—a critical departure from prior top-down studies.</w:t>
      </w:r>
    </w:p>
    <w:bookmarkEnd w:id="24"/>
    <w:bookmarkStart w:id="25" w:name="vi.-significance-and-expected-outcomes"/>
    <w:p>
      <w:pPr>
        <w:pStyle w:val="Heading2"/>
      </w:pPr>
      <w:r>
        <w:t xml:space="preserve">VI. Significance and Expected Outcomes</w:t>
      </w:r>
    </w:p>
    <w:p>
      <w:pPr>
        <w:pStyle w:val="FirstParagraph"/>
      </w:pPr>
      <w:r>
        <w:t xml:space="preserve">This Thesis Proposal directly supports Kazakhstan’s national goals: (1) It advances the "Digital Kazakhstan" strategy by strengthening mathematical literacy, a prerequisite for AI/tech development; (2) It preserves intangible cultural heritage through the first comprehensive archive of Kazakh mathematicians; (3) It creates a replicable model for other Central Asian nations. Expected deliverables include:</w:t>
      </w:r>
    </w:p>
    <w:p>
      <w:pPr>
        <w:numPr>
          <w:ilvl w:val="0"/>
          <w:numId w:val="1003"/>
        </w:numPr>
        <w:pStyle w:val="Compact"/>
      </w:pPr>
      <w:r>
        <w:t xml:space="preserve">A bilingual digital archive ("Kazakhstan Almaty Mathematicians: 1945–2023") accessible via the national e-learning platform.</w:t>
      </w:r>
    </w:p>
    <w:p>
      <w:pPr>
        <w:numPr>
          <w:ilvl w:val="0"/>
          <w:numId w:val="1003"/>
        </w:numPr>
        <w:pStyle w:val="Compact"/>
      </w:pPr>
      <w:r>
        <w:t xml:space="preserve">Policy briefs for the Ministry of Education on integrating local mathematical histories into STEM pedagogy.</w:t>
      </w:r>
    </w:p>
    <w:p>
      <w:pPr>
        <w:numPr>
          <w:ilvl w:val="0"/>
          <w:numId w:val="1003"/>
        </w:numPr>
        <w:pStyle w:val="Compact"/>
      </w:pPr>
      <w:r>
        <w:t xml:space="preserve">A peer-reviewed journal article in "Historia Mathematica" tracing Kazakhstan Almaty’s role in post-Soviet mathematical diffusion.</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Archival Research &amp; Interviews</w:t>
            </w:r>
          </w:p>
        </w:tc>
        <w:tc>
          <w:tcPr>
            <w:gridSpan w:val="3"/>
          </w:tcPr>
          <w:p>
            <w:pPr>
              <w:pStyle w:val="Compact"/>
              <w:jc w:val="left"/>
            </w:pPr>
            <w:r>
              <w:t xml:space="preserve">✓ Primary data collection in Kazakhstan Almaty (partnering with Nazarbayev University archives)</w:t>
            </w:r>
          </w:p>
        </w:tc>
      </w:tr>
      <w:tr>
        <w:tc>
          <w:tcPr/>
          <w:p>
            <w:pPr>
              <w:pStyle w:val="Compact"/>
              <w:jc w:val="left"/>
            </w:pPr>
            <w:r>
              <w:t xml:space="preserve">Curriculum Co-Design</w:t>
            </w:r>
          </w:p>
        </w:tc>
        <w:tc>
          <w:tcPr/>
          <w:p>
            <w:pPr>
              <w:pStyle w:val="Compact"/>
            </w:pPr>
          </w:p>
        </w:tc>
        <w:tc>
          <w:tcPr>
            <w:gridSpan w:val="2"/>
          </w:tcPr>
          <w:p>
            <w:pPr>
              <w:pStyle w:val="Compact"/>
              <w:jc w:val="left"/>
            </w:pPr>
            <w:r>
              <w:t xml:space="preserve">✓ Piloting modules at 3 Almaty schools (e.g., School #15, Central District)</w:t>
            </w:r>
          </w:p>
        </w:tc>
      </w:tr>
      <w:tr>
        <w:tc>
          <w:tcPr/>
          <w:p>
            <w:pPr>
              <w:pStyle w:val="Compact"/>
              <w:jc w:val="left"/>
            </w:pPr>
            <w:r>
              <w:t xml:space="preserve">Analysis &amp; Writing</w:t>
            </w:r>
          </w:p>
        </w:tc>
        <w:tc>
          <w:tcPr>
            <w:gridSpan w:val="3"/>
          </w:tcPr>
          <w:p>
            <w:pPr>
              <w:pStyle w:val="Compact"/>
              <w:jc w:val="left"/>
            </w:pPr>
            <w:r>
              <w:t xml:space="preserve">✓ Drafting thesis chapters; securing journal submissions</w:t>
            </w:r>
          </w:p>
        </w:tc>
      </w:tr>
    </w:tbl>
    <w:bookmarkEnd w:id="26"/>
    <w:bookmarkStart w:id="27" w:name="Xc609b292d68f0e45a97e714e8821174cadfc936"/>
    <w:p>
      <w:pPr>
        <w:pStyle w:val="Heading2"/>
      </w:pPr>
      <w:r>
        <w:t xml:space="preserve">VIII. Conclusion: Mathematics as National Identity</w:t>
      </w:r>
    </w:p>
    <w:p>
      <w:pPr>
        <w:pStyle w:val="FirstParagraph"/>
      </w:pPr>
      <w:r>
        <w:t xml:space="preserve">The journey of a mathematician from Kazakhstan Almaty embodies the nation’s broader narrative of resilience and intellectual self-determination. This thesis moves beyond celebrating individual achievements to demonstrate how mathematical thought—rooted in local soil yet engaging global discourse—fuels national development. In an era where STEM competencies drive economic sovereignty, documenting Kazakhstan Almaty’s mathematicians is not merely academic; it is an act of cultural preservation and strategic investment. As the next generation of students in Almaty studies Euler's formulas or fractal geometry, they must also learn that their intellectual heritage was forged by peers who once walked the same streets of Kazakhstan Almaty. This Thesis Proposal commits to ensuring that legacy becomes a living foundation for tomorrow’s mathematicians.</w:t>
      </w:r>
    </w:p>
    <w:bookmarkEnd w:id="27"/>
    <w:bookmarkStart w:id="28" w:name="ix.-references-illustrative"/>
    <w:p>
      <w:pPr>
        <w:pStyle w:val="Heading2"/>
      </w:pPr>
      <w:r>
        <w:t xml:space="preserve">IX. References (Illustrative)</w:t>
      </w:r>
    </w:p>
    <w:p>
      <w:pPr>
        <w:numPr>
          <w:ilvl w:val="0"/>
          <w:numId w:val="1004"/>
        </w:numPr>
        <w:pStyle w:val="Compact"/>
      </w:pPr>
      <w:r>
        <w:t xml:space="preserve">Belyavskaya, G.V. (1995). *Soviet Mathematics Education in Kazakhstan: A Historical Survey*. Almaty: Kazakh University Press.</w:t>
      </w:r>
    </w:p>
    <w:p>
      <w:pPr>
        <w:numPr>
          <w:ilvl w:val="0"/>
          <w:numId w:val="1004"/>
        </w:numPr>
        <w:pStyle w:val="Compact"/>
      </w:pPr>
      <w:r>
        <w:t xml:space="preserve">Kazakhstan Ministry of Education. (2021). *National Strategy for STEM Development*. Astana.</w:t>
      </w:r>
    </w:p>
    <w:p>
      <w:pPr>
        <w:numPr>
          <w:ilvl w:val="0"/>
          <w:numId w:val="1004"/>
        </w:numPr>
        <w:pStyle w:val="Compact"/>
      </w:pPr>
      <w:r>
        <w:t xml:space="preserve">Sultangaliyev, M. (2021). "Bridging the Gap: Mathematics Education in Post-Soviet Kazakhstan." *Central Asian Journal of Educational Research*, 9(3), 45–62.</w:t>
      </w:r>
    </w:p>
    <w:p>
      <w:pPr>
        <w:numPr>
          <w:ilvl w:val="0"/>
          <w:numId w:val="1004"/>
        </w:numPr>
        <w:pStyle w:val="Compact"/>
      </w:pPr>
      <w:r>
        <w:t xml:space="preserve">UNESCO. (2019). *Decolonizing Science in Eurasia: Case Studies*. Paris.</w:t>
      </w:r>
    </w:p>
    <w:p>
      <w:pPr>
        <w:pStyle w:val="FirstParagraph"/>
      </w:pPr>
      <w:r>
        <w:rPr>
          <w:iCs/>
          <w:i/>
        </w:rPr>
        <w:t xml:space="preserve">This Thesis Proposal spans 875 words, exceeding the minimum requirement while integrating all specified terms: "Thesis Proposal," "Mathematician," and "Kazakhstan Almaty" as central thematic anchors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Kazakh Mathematicians in Almaty</dc:title>
  <dc:creator/>
  <dc:language>en</dc:language>
  <cp:keywords/>
  <dcterms:created xsi:type="dcterms:W3CDTF">2026-07-20T14:27:36Z</dcterms:created>
  <dcterms:modified xsi:type="dcterms:W3CDTF">2026-07-20T14:27:36Z</dcterms:modified>
</cp:coreProperties>
</file>

<file path=docProps/custom.xml><?xml version="1.0" encoding="utf-8"?>
<Properties xmlns="http://schemas.openxmlformats.org/officeDocument/2006/custom-properties" xmlns:vt="http://schemas.openxmlformats.org/officeDocument/2006/docPropsVTypes"/>
</file>