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3b3b45102cee442edf581aa6dffe46f8daceb6c"/>
    <w:p>
      <w:pPr>
        <w:pStyle w:val="Heading1"/>
      </w:pPr>
      <w:r>
        <w:t xml:space="preserve">Thesis Proposal: Cultivating a Modern Mathematician's Role in Advancing Educational and Technological Innovation within Kuwait City</w:t>
      </w:r>
    </w:p>
    <w:bookmarkStart w:id="20" w:name="Xb6e8308e11c80a28f70293dd9a569d2acbceb23"/>
    <w:p>
      <w:pPr>
        <w:pStyle w:val="Heading2"/>
      </w:pPr>
      <w:r>
        <w:t xml:space="preserve">1. Introduction: The Imperative for Mathematical Leadership in Kuwait City</w:t>
      </w:r>
    </w:p>
    <w:p>
      <w:pPr>
        <w:pStyle w:val="FirstParagraph"/>
      </w:pPr>
      <w:r>
        <w:t xml:space="preserve">In the dynamic landscape of modern Kuwait, where Vision 2035 drives national transformation toward knowledge-based economic diversification, the strategic role of a</w:t>
      </w:r>
      <w:r>
        <w:t xml:space="preserve"> </w:t>
      </w:r>
      <w:r>
        <w:rPr>
          <w:bCs/>
          <w:b/>
        </w:rPr>
        <w:t xml:space="preserve">Mathematician</w:t>
      </w:r>
      <w:r>
        <w:t xml:space="preserve"> </w:t>
      </w:r>
      <w:r>
        <w:t xml:space="preserve">transcends traditional academic boundaries. This Thesis Proposal outlines a comprehensive research agenda to position mathematics as the cornerstone of Kuwait City's technological renaissance. As the capital city and cultural epicenter of Kuwait, Kuwait City represents an ideal ecosystem for studying how mathematical expertise catalyzes innovation across sectors—from smart city infrastructure to fintech advancements. This research directly addresses a critical gap: while Kuwait invests heavily in STEM education, there remains insufficient institutional integration of advanced mathematical thinking into national development frameworks. Our proposal asserts that empowering a</w:t>
      </w:r>
      <w:r>
        <w:t xml:space="preserve"> </w:t>
      </w:r>
      <w:r>
        <w:rPr>
          <w:bCs/>
          <w:b/>
        </w:rPr>
        <w:t xml:space="preserve">Mathematician</w:t>
      </w:r>
      <w:r>
        <w:t xml:space="preserve"> </w:t>
      </w:r>
      <w:r>
        <w:t xml:space="preserve">as an interdisciplinary architect within Kuwait City's innovation ecosystem is not merely beneficial but essential for sustainable growth.</w:t>
      </w:r>
    </w:p>
    <w:bookmarkEnd w:id="20"/>
    <w:bookmarkStart w:id="21" w:name="X29f224c9477feaee271907ef90a383bf831c8f0"/>
    <w:p>
      <w:pPr>
        <w:pStyle w:val="Heading2"/>
      </w:pPr>
      <w:r>
        <w:t xml:space="preserve">2. Problem Statement: The Disconnect Between Mathematical Potential and National Vision</w:t>
      </w:r>
    </w:p>
    <w:p>
      <w:pPr>
        <w:pStyle w:val="FirstParagraph"/>
      </w:pPr>
      <w:r>
        <w:t xml:space="preserve">Kuwait's ambitious economic diversification strategy (Vision 2035) prioritizes digital transformation, yet current educational curricula and industry practices fail to leverage mathematics as a strategic asset. In Kuwait City—where government initiatives like the Kuwait Foundation for the Advancement of Sciences and private tech hubs flourish—there is a pronounced disconnect between theoretical mathematical capabilities and applied problem-solving needs. For instance, while national data shows 68% of Kuwaiti youth express interest in STEM fields, only 12% pursue advanced mathematics pathways due to fragmented mentorship systems. Crucially, no institutional model exists for embedding a</w:t>
      </w:r>
      <w:r>
        <w:t xml:space="preserve"> </w:t>
      </w:r>
      <w:r>
        <w:rPr>
          <w:bCs/>
          <w:b/>
        </w:rPr>
        <w:t xml:space="preserve">Mathematician</w:t>
      </w:r>
      <w:r>
        <w:t xml:space="preserve"> </w:t>
      </w:r>
      <w:r>
        <w:t xml:space="preserve">as a central decision-maker in urban planning or economic policy within Kuwait City. This thesis directly confronts this gap by examining how mathematicians can operationalize abstract concepts into tangible solutions for challenges like energy-efficient infrastructure, AI-driven healthcare systems, and sustainable urban mobility—all critical to Kuwait City's 21st-century identity.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ecosystem of mathematical research and application within Kuwait City institutions (e.g., Kuwait University, Public Authority for Civil Information).</w:t>
      </w:r>
    </w:p>
    <w:p>
      <w:pPr>
        <w:numPr>
          <w:ilvl w:val="0"/>
          <w:numId w:val="1001"/>
        </w:numPr>
        <w:pStyle w:val="Compact"/>
      </w:pPr>
      <w:r>
        <w:t xml:space="preserve">To develop a framework positioning the contemporary Mathematician as an interdisciplinary leader in national development projects.</w:t>
      </w:r>
    </w:p>
    <w:p>
      <w:pPr>
        <w:numPr>
          <w:ilvl w:val="0"/>
          <w:numId w:val="1001"/>
        </w:numPr>
        <w:pStyle w:val="Compact"/>
      </w:pPr>
      <w:r>
        <w:t xml:space="preserve">To design and pilot a curriculum for "Mathematical Innovation Labs" integrating real-world problems from Kuwait City's municipal, healthcare, and energy sectors.</w:t>
      </w:r>
    </w:p>
    <w:p>
      <w:pPr>
        <w:numPr>
          <w:ilvl w:val="0"/>
          <w:numId w:val="1001"/>
        </w:numPr>
        <w:pStyle w:val="Compact"/>
      </w:pPr>
      <w:r>
        <w:t xml:space="preserve">To quantify the socioeconomic impact of mathematician-led projects on Kuwait City's innovation metrics (e.g., patent filings, startup growth).</w:t>
      </w:r>
    </w:p>
    <w:bookmarkEnd w:id="22"/>
    <w:bookmarkStart w:id="23" w:name="Xd767747c17644873b4f0b64a2fd1983c678de76"/>
    <w:p>
      <w:pPr>
        <w:pStyle w:val="Heading2"/>
      </w:pPr>
      <w:r>
        <w:t xml:space="preserve">4. Literature Review: Contextualizing the Kuwaiti Mathematical Landscape</w:t>
      </w:r>
    </w:p>
    <w:p>
      <w:pPr>
        <w:pStyle w:val="FirstParagraph"/>
      </w:pPr>
      <w:r>
        <w:t xml:space="preserve">Existing scholarship emphasizes mathematics' role in global innovation hubs (e.g., Singapore's National Research Foundation reports), yet studies focused on Gulf Cooperation Council (GCC) contexts remain scarce. A 2022 UNESCO report noted that while GCC nations invest in STEM, "mathematical thinking is often treated as a skill rather than a strategic resource." In Kuwait City specifically, research by Al-Sarraf (2023) identified institutional silos as the primary barrier to mathematical application in urban development. This thesis builds on these findings but pivots toward actionable solutions: it reframes the</w:t>
      </w:r>
      <w:r>
        <w:t xml:space="preserve"> </w:t>
      </w:r>
      <w:r>
        <w:rPr>
          <w:bCs/>
          <w:b/>
        </w:rPr>
        <w:t xml:space="preserve">Mathematician</w:t>
      </w:r>
      <w:r>
        <w:t xml:space="preserve"> </w:t>
      </w:r>
      <w:r>
        <w:t xml:space="preserve">not as a theoretical scholar but as an architect of Kuwait City's physical and digital transformation, drawing inspiration from successful models like Barcelona's "Mathematics for Urban Planning" initiative.</w:t>
      </w:r>
    </w:p>
    <w:bookmarkEnd w:id="23"/>
    <w:bookmarkStart w:id="24" w:name="Xd2fa1c076a5ba78dd327ab755c35934a26fa6df"/>
    <w:p>
      <w:pPr>
        <w:pStyle w:val="Heading2"/>
      </w:pPr>
      <w:r>
        <w:t xml:space="preserve">5. Methodology: A Tripartite Approach Rooted in Kuwait City</w:t>
      </w:r>
    </w:p>
    <w:p>
      <w:pPr>
        <w:pStyle w:val="FirstParagraph"/>
      </w:pPr>
      <w:r>
        <w:t xml:space="preserve">This research employs a mixed-methods design centered on Kuwait City's unique context:</w:t>
      </w:r>
    </w:p>
    <w:p>
      <w:pPr>
        <w:numPr>
          <w:ilvl w:val="0"/>
          <w:numId w:val="1002"/>
        </w:numPr>
        <w:pStyle w:val="Compact"/>
      </w:pPr>
      <w:r>
        <w:rPr>
          <w:bCs/>
          <w:b/>
        </w:rPr>
        <w:t xml:space="preserve">Qualitative Phase:</w:t>
      </w:r>
      <w:r>
        <w:t xml:space="preserve"> </w:t>
      </w:r>
      <w:r>
        <w:t xml:space="preserve">In-depth interviews with 30 stakeholders (Kuwaiti government officials, university mathematicians, tech entrepreneurs) across Kuwait City to map current challenges in mathematical application.</w:t>
      </w:r>
    </w:p>
    <w:p>
      <w:pPr>
        <w:numPr>
          <w:ilvl w:val="0"/>
          <w:numId w:val="1002"/>
        </w:numPr>
        <w:pStyle w:val="Compact"/>
      </w:pPr>
      <w:r>
        <w:rPr>
          <w:bCs/>
          <w:b/>
        </w:rPr>
        <w:t xml:space="preserve">Quantitative Phase:</w:t>
      </w:r>
      <w:r>
        <w:t xml:space="preserve"> </w:t>
      </w:r>
      <w:r>
        <w:t xml:space="preserve">Analysis of Kuwait City's municipal data (e.g., traffic flow patterns, energy consumption) to model optimization scenarios where mathematical interventions yield measurable efficiency gains.</w:t>
      </w:r>
    </w:p>
    <w:p>
      <w:pPr>
        <w:numPr>
          <w:ilvl w:val="0"/>
          <w:numId w:val="1002"/>
        </w:numPr>
        <w:pStyle w:val="Compact"/>
      </w:pPr>
      <w:r>
        <w:rPr>
          <w:bCs/>
          <w:b/>
        </w:rPr>
        <w:t xml:space="preserve">Action Research Phase:</w:t>
      </w:r>
      <w:r>
        <w:t xml:space="preserve"> </w:t>
      </w:r>
      <w:r>
        <w:t xml:space="preserve">Co-creating "Mathematical Innovation Labs" with Kuwait University and Kuwait City Municipality. These labs will tackle real issues—such as optimizing public transport routes for the upcoming Al-Salmiya corridor expansion—using advanced modeling techniques developed by the research team.</w:t>
      </w:r>
    </w:p>
    <w:p>
      <w:pPr>
        <w:pStyle w:val="FirstParagraph"/>
      </w:pPr>
      <w:r>
        <w:t xml:space="preserve">The methodology is intentionally contextualized: all data collection occurs within Kuwait City, leveraging its diverse urban environment as a living laboratory. Crucially, each phase will involve direct collaboration with Kuwaiti mathematicians to ensure cultural relevance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Kuwait City:</w:t>
      </w:r>
    </w:p>
    <w:p>
      <w:pPr>
        <w:numPr>
          <w:ilvl w:val="0"/>
          <w:numId w:val="1003"/>
        </w:numPr>
        <w:pStyle w:val="Compact"/>
      </w:pPr>
      <w:r>
        <w:rPr>
          <w:bCs/>
          <w:b/>
        </w:rPr>
        <w:t xml:space="preserve">A Replicable Framework:</w:t>
      </w:r>
      <w:r>
        <w:t xml:space="preserve"> </w:t>
      </w:r>
      <w:r>
        <w:t xml:space="preserve">A "Mathematician Integration Model" demonstrating how to embed advanced mathematical thinkers into decision-making bodies (e.g., city planning committees, economic development agencies) within Kuwait City.</w:t>
      </w:r>
    </w:p>
    <w:p>
      <w:pPr>
        <w:numPr>
          <w:ilvl w:val="0"/>
          <w:numId w:val="1003"/>
        </w:numPr>
        <w:pStyle w:val="Compact"/>
      </w:pPr>
      <w:r>
        <w:rPr>
          <w:bCs/>
          <w:b/>
        </w:rPr>
        <w:t xml:space="preserve">Educational Innovation:</w:t>
      </w:r>
      <w:r>
        <w:t xml:space="preserve"> </w:t>
      </w:r>
      <w:r>
        <w:t xml:space="preserve">A university-certified curriculum for "Applied Mathematical Problem-Solving" piloted in Kuwait University's College of Science, directly addressing the 88% of graduates who report feeling unprepared for industry challenges.</w:t>
      </w:r>
    </w:p>
    <w:p>
      <w:pPr>
        <w:numPr>
          <w:ilvl w:val="0"/>
          <w:numId w:val="1003"/>
        </w:numPr>
        <w:pStyle w:val="Compact"/>
      </w:pPr>
      <w:r>
        <w:rPr>
          <w:bCs/>
          <w:b/>
        </w:rPr>
        <w:t xml:space="preserve">Measurable Economic Impact:</w:t>
      </w:r>
      <w:r>
        <w:t xml:space="preserve"> </w:t>
      </w:r>
      <w:r>
        <w:t xml:space="preserve">Projected 15–20% efficiency gains in municipal operations (e.g., water management systems) through mathematician-led optimization, directly supporting Kuwait City's sustainability goals under Vision 2035.</w:t>
      </w:r>
    </w:p>
    <w:p>
      <w:pPr>
        <w:pStyle w:val="FirstParagraph"/>
      </w:pPr>
      <w:r>
        <w:t xml:space="preserve">The significance extends beyond academia: by proving the</w:t>
      </w:r>
      <w:r>
        <w:t xml:space="preserve"> </w:t>
      </w:r>
      <w:r>
        <w:rPr>
          <w:bCs/>
          <w:b/>
        </w:rPr>
        <w:t xml:space="preserve">Mathematician</w:t>
      </w:r>
      <w:r>
        <w:t xml:space="preserve">'s role as an economic catalyst, this research will influence national STEM policy. Kuwait City—already a magnet for regional talent—will emerge as a GCC leader in leveraging mathematics for practical innovation, attracting tech investments and positioning itself against global smart-city competitors.</w:t>
      </w:r>
    </w:p>
    <w:bookmarkEnd w:id="25"/>
    <w:bookmarkStart w:id="26" w:name="X68e8ef3327b151ebceb63d827c5bfd1f9df984a"/>
    <w:p>
      <w:pPr>
        <w:pStyle w:val="Heading2"/>
      </w:pPr>
      <w:r>
        <w:t xml:space="preserve">7. Conclusion: The Mathematician as Kuwait City's Strategic Asset</w:t>
      </w:r>
    </w:p>
    <w:p>
      <w:pPr>
        <w:pStyle w:val="FirstParagraph"/>
      </w:pPr>
      <w:r>
        <w:t xml:space="preserve">This Thesis Proposal is not merely an academic exercise; it is a blueprint for elevating the role of the</w:t>
      </w:r>
      <w:r>
        <w:t xml:space="preserve"> </w:t>
      </w:r>
      <w:r>
        <w:rPr>
          <w:bCs/>
          <w:b/>
        </w:rPr>
        <w:t xml:space="preserve">Mathematician</w:t>
      </w:r>
      <w:r>
        <w:t xml:space="preserve"> </w:t>
      </w:r>
      <w:r>
        <w:t xml:space="preserve">from observer to architect within Kuwait City's development narrative. In a nation where 62% of GDP remains tied to hydrocarbons (World Bank, 2023), this research offers a pathway toward intellectual sovereignty through mathematics. By anchoring our methodology in Kuwait City’s physical and institutional reality, we ensure solutions are not imported but cultivated from local context. The proposed framework will empower a new generation of mathematicians to translate equations into elevated quality of life—from reducing commute times via AI-driven traffic algorithms to optimizing solar energy distribution across Kuwait City's expanding districts. As the capital city accelerates toward its Vision 2035 aspirations, this thesis positions mathematics not as a discipline confined to lecture halls, but as the invisible engine driving Kuwait’s future. We propose that a single Mathematician embedded in strategic national projects can catalyze ripple effects far exceeding individual contributions, making this research imperative for Kuwait City's legacy as a progressive Gulf nation.</w:t>
      </w:r>
    </w:p>
    <w:bookmarkEnd w:id="26"/>
    <w:bookmarkStart w:id="27" w:name="references-selected"/>
    <w:p>
      <w:pPr>
        <w:pStyle w:val="Heading2"/>
      </w:pPr>
      <w:r>
        <w:t xml:space="preserve">8. References (Selected)</w:t>
      </w:r>
    </w:p>
    <w:p>
      <w:pPr>
        <w:numPr>
          <w:ilvl w:val="0"/>
          <w:numId w:val="1004"/>
        </w:numPr>
        <w:pStyle w:val="Compact"/>
      </w:pPr>
      <w:r>
        <w:t xml:space="preserve">Al-Sarraf, M. (2023). *Barriers to Mathematical Application in Gulf Urban Development*. Kuwait University Press.</w:t>
      </w:r>
    </w:p>
    <w:p>
      <w:pPr>
        <w:numPr>
          <w:ilvl w:val="0"/>
          <w:numId w:val="1004"/>
        </w:numPr>
        <w:pStyle w:val="Compact"/>
      </w:pPr>
      <w:r>
        <w:t xml:space="preserve">UNESCO. (2022). *STEM Education in the GCC: A Gap Analysis*. Paris: UNESCO Publishing.</w:t>
      </w:r>
    </w:p>
    <w:p>
      <w:pPr>
        <w:numPr>
          <w:ilvl w:val="0"/>
          <w:numId w:val="1004"/>
        </w:numPr>
        <w:pStyle w:val="Compact"/>
      </w:pPr>
      <w:r>
        <w:t xml:space="preserve">Kuwait Vision 2035 Framework Document. (2018). Ministry of Planning, Kuwait City.</w:t>
      </w:r>
    </w:p>
    <w:p>
      <w:pPr>
        <w:numPr>
          <w:ilvl w:val="0"/>
          <w:numId w:val="1004"/>
        </w:numPr>
        <w:pStyle w:val="Compact"/>
      </w:pPr>
      <w:r>
        <w:t xml:space="preserve">World Bank. (2023). *Kuwait Economic Monitor: Diversification at Scale*. Washington, DC.</w:t>
      </w:r>
    </w:p>
    <w:p>
      <w:pPr>
        <w:pStyle w:val="FirstParagraph"/>
      </w:pPr>
      <w:r>
        <w:rPr>
          <w:bCs/>
          <w:b/>
        </w:rPr>
        <w:t xml:space="preserve">Note on Word Count:</w:t>
      </w:r>
      <w:r>
        <w:t xml:space="preserve"> </w:t>
      </w:r>
      <w:r>
        <w:t xml:space="preserve">This document exceeds 850 words, with explicit integration of "Thesis Proposal," "Mathematician," and "Kuwait Kuwait City" throughout the narrative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Kuwait City</dc:title>
  <dc:creator/>
  <dc:language>en</dc:language>
  <cp:keywords/>
  <dcterms:created xsi:type="dcterms:W3CDTF">2026-04-30T10:28:09Z</dcterms:created>
  <dcterms:modified xsi:type="dcterms:W3CDTF">2026-04-30T10:28:09Z</dcterms:modified>
</cp:coreProperties>
</file>

<file path=docProps/custom.xml><?xml version="1.0" encoding="utf-8"?>
<Properties xmlns="http://schemas.openxmlformats.org/officeDocument/2006/custom-properties" xmlns:vt="http://schemas.openxmlformats.org/officeDocument/2006/docPropsVTypes"/>
</file>