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Mathematicians</w:t>
      </w:r>
      <w:r>
        <w:t xml:space="preserve"> </w:t>
      </w:r>
      <w:r>
        <w:t xml:space="preserve">in</w:t>
      </w:r>
      <w:r>
        <w:t xml:space="preserve"> </w:t>
      </w:r>
      <w:r>
        <w:t xml:space="preserve">Advancing</w:t>
      </w:r>
      <w:r>
        <w:t xml:space="preserve"> </w:t>
      </w:r>
      <w:r>
        <w:t xml:space="preserve">STEM</w:t>
      </w:r>
      <w:r>
        <w:t xml:space="preserve"> </w:t>
      </w:r>
      <w:r>
        <w:t xml:space="preserve">Education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31" w:name="Xd3ee58ef6b1f456365711cc1b88bbe9ba0a7a1f"/>
    <w:p>
      <w:pPr>
        <w:pStyle w:val="Heading1"/>
      </w:pPr>
      <w:r>
        <w:t xml:space="preserve">Thesis Proposal: The Role of Contemporary Mathematicians in Advancing STEM Education in Malaysia Kuala Lumpur</w:t>
      </w:r>
    </w:p>
    <w:bookmarkStart w:id="20" w:name="introduction"/>
    <w:p>
      <w:pPr>
        <w:pStyle w:val="Heading2"/>
      </w:pPr>
      <w:r>
        <w:t xml:space="preserve">1. Introduction</w:t>
      </w:r>
    </w:p>
    <w:p>
      <w:pPr>
        <w:pStyle w:val="FirstParagraph"/>
      </w:pPr>
      <w:r>
        <w:t xml:space="preserve">In the rapidly evolving landscape of global education, mathematics stands as the cornerstone of scientific and technological advancement. This</w:t>
      </w:r>
      <w:r>
        <w:t xml:space="preserve"> </w:t>
      </w:r>
      <w:r>
        <w:rPr>
          <w:iCs/>
          <w:i/>
        </w:rPr>
        <w:t xml:space="preserve">Thesis Proposal</w:t>
      </w:r>
      <w:r>
        <w:t xml:space="preserve"> </w:t>
      </w:r>
      <w:r>
        <w:t xml:space="preserve">presents a comprehensive study examining how contemporary</w:t>
      </w:r>
      <w:r>
        <w:t xml:space="preserve"> </w:t>
      </w:r>
      <w:r>
        <w:rPr>
          <w:bCs/>
          <w:b/>
        </w:rPr>
        <w:t xml:space="preserve">Mathematician</w:t>
      </w:r>
      <w:r>
        <w:t xml:space="preserve">s in Malaysia Kuala Lumpur are uniquely positioned to transform STEM (Science, Technology, Engineering, and Mathematics) education within the nation's educational framework. As Malaysia accelerates its Digital Economy Blueprint 2021-2025 and strives for ASEAN leadership in innovation, the contributions of local mathematicians have become critically important. This research will investigate how these professionals—working within institutions like Universiti Malaya, International Islamic University Malaysia (IIUM), and private STEM-focused academies in Kuala Lumpur—address educational gaps, foster interdisciplinary collaboration, and inspire future generations through culturally relevant pedagogy.</w:t>
      </w:r>
    </w:p>
    <w:bookmarkEnd w:id="20"/>
    <w:bookmarkStart w:id="21" w:name="problem-statement"/>
    <w:p>
      <w:pPr>
        <w:pStyle w:val="Heading2"/>
      </w:pPr>
      <w:r>
        <w:t xml:space="preserve">2. Problem Statement</w:t>
      </w:r>
    </w:p>
    <w:p>
      <w:pPr>
        <w:pStyle w:val="FirstParagraph"/>
      </w:pPr>
      <w:r>
        <w:t xml:space="preserve">Despite Malaysia's strategic investments in education, a persistent gap exists between theoretical mathematics curricula and practical application in schools across the nation. In Kuala Lumpur specifically—where 40% of Malaysia's top-tier educational institutions are concentrated—students demonstrate declining interest in advanced mathematics, with PISA (Programme for International Student Assessment) scores lagging behind regional peers like Singapore and South Korea. This crisis is compounded by a shortage of qualified mathematics educators: only 32% of secondary schools in Kuala Lumpur have teachers specializing in advanced mathematical concepts. Crucially, the potential impact of local</w:t>
      </w:r>
      <w:r>
        <w:t xml:space="preserve"> </w:t>
      </w:r>
      <w:r>
        <w:rPr>
          <w:bCs/>
          <w:b/>
        </w:rPr>
        <w:t xml:space="preserve">Mathematician</w:t>
      </w:r>
      <w:r>
        <w:t xml:space="preserve">s as curriculum innovators, research mentors, and community advocates remains underutilized due to fragmented institutional support and limited public recognition. This</w:t>
      </w:r>
      <w:r>
        <w:t xml:space="preserve"> </w:t>
      </w:r>
      <w:r>
        <w:rPr>
          <w:iCs/>
          <w:i/>
        </w:rPr>
        <w:t xml:space="preserve">Thesis Proposal</w:t>
      </w:r>
      <w:r>
        <w:t xml:space="preserve"> </w:t>
      </w:r>
      <w:r>
        <w:t xml:space="preserve">directly addresses this gap by positioning mathematicians not merely as academics but as active change agents within Malaysia's educational ecosystem.</w:t>
      </w:r>
    </w:p>
    <w:bookmarkEnd w:id="21"/>
    <w:bookmarkStart w:id="22" w:name="research-objectives"/>
    <w:p>
      <w:pPr>
        <w:pStyle w:val="Heading2"/>
      </w:pPr>
      <w:r>
        <w:t xml:space="preserve">3. Research Objectives</w:t>
      </w:r>
    </w:p>
    <w:p>
      <w:pPr>
        <w:numPr>
          <w:ilvl w:val="0"/>
          <w:numId w:val="1001"/>
        </w:numPr>
        <w:pStyle w:val="Compact"/>
      </w:pPr>
      <w:r>
        <w:t xml:space="preserve">To analyze the current pedagogical strategies employed by working mathematicians in Kuala Lumpur institutions to enhance student engagement in STEM fields.</w:t>
      </w:r>
    </w:p>
    <w:p>
      <w:pPr>
        <w:numPr>
          <w:ilvl w:val="0"/>
          <w:numId w:val="1001"/>
        </w:numPr>
        <w:pStyle w:val="Compact"/>
      </w:pPr>
      <w:r>
        <w:t xml:space="preserve">To evaluate the socio-cultural barriers hindering broader adoption of innovative mathematics education approaches across diverse Malaysian communities.</w:t>
      </w:r>
    </w:p>
    <w:p>
      <w:pPr>
        <w:numPr>
          <w:ilvl w:val="0"/>
          <w:numId w:val="1001"/>
        </w:numPr>
        <w:pStyle w:val="Compact"/>
      </w:pPr>
      <w:r>
        <w:t xml:space="preserve">To develop a culturally responsive framework for integrating computational thinking and real-world problem-solving into Malaysia's national mathematics curriculum, co-designed with local mathematicians.</w:t>
      </w:r>
    </w:p>
    <w:p>
      <w:pPr>
        <w:numPr>
          <w:ilvl w:val="0"/>
          <w:numId w:val="1001"/>
        </w:numPr>
        <w:pStyle w:val="Compact"/>
      </w:pPr>
      <w:r>
        <w:t xml:space="preserve">To assess the economic impact of mathematician-led STEM initiatives on Kuala Lumpur's emerging tech sector and talent pipeline development.</w:t>
      </w:r>
    </w:p>
    <w:bookmarkEnd w:id="22"/>
    <w:bookmarkStart w:id="23" w:name="X99323f2c5712806bb12e6f24f8d3fb74fa57978"/>
    <w:p>
      <w:pPr>
        <w:pStyle w:val="Heading2"/>
      </w:pPr>
      <w:r>
        <w:t xml:space="preserve">4. Literature Review: Contextualizing Mathematicians in Malaysia</w:t>
      </w:r>
    </w:p>
    <w:p>
      <w:pPr>
        <w:pStyle w:val="FirstParagraph"/>
      </w:pPr>
      <w:r>
        <w:t xml:space="preserve">Existing research focuses predominantly on global mathematics education models, with minimal attention to Southeast Asian contexts. While studies by Tan (2019) on "Mathematics Pedagogy in ASEAN" note Kuala Lumpur's high school curriculum as "rigid but rigorous," they overlook the agency of local mathematicians. Conversely, works like Ahmad &amp; Rahman (2021) highlight successful initiatives such as IIUM's Mathematics Outreach Program, yet fail to systematize these models. This research bridges this gap by centering the</w:t>
      </w:r>
      <w:r>
        <w:t xml:space="preserve"> </w:t>
      </w:r>
      <w:r>
        <w:rPr>
          <w:bCs/>
          <w:b/>
        </w:rPr>
        <w:t xml:space="preserve">Mathematician</w:t>
      </w:r>
      <w:r>
        <w:t xml:space="preserve"> </w:t>
      </w:r>
      <w:r>
        <w:t xml:space="preserve">as an active participant rather than a passive subject. The proposal builds upon Malaysia's National Higher Education Strategic Plan (2015-2025), which explicitly identifies "mathematical literacy" as critical for economic competitiveness, while contextualizing it within Kuala Lumpur’s unique urban educational environment where 68% of students access digital learning resources through public library networks.</w:t>
      </w:r>
    </w:p>
    <w:bookmarkEnd w:id="23"/>
    <w:bookmarkStart w:id="27" w:name="methodology"/>
    <w:p>
      <w:pPr>
        <w:pStyle w:val="Heading2"/>
      </w:pPr>
      <w:r>
        <w:t xml:space="preserve">5. Methodology</w:t>
      </w:r>
    </w:p>
    <w:p>
      <w:pPr>
        <w:pStyle w:val="FirstParagraph"/>
      </w:pPr>
      <w:r>
        <w:t xml:space="preserve">This mixed-methods study will employ a sequential explanatory design across 18 months in Malaysia Kuala Lumpur:</w:t>
      </w:r>
    </w:p>
    <w:bookmarkStart w:id="24" w:name="phase-1-qualitative-analysis-months-1-6"/>
    <w:p>
      <w:pPr>
        <w:pStyle w:val="Heading3"/>
      </w:pPr>
      <w:r>
        <w:t xml:space="preserve">Phase 1: Qualitative Analysis (Months 1-6)</w:t>
      </w:r>
    </w:p>
    <w:p>
      <w:pPr>
        <w:numPr>
          <w:ilvl w:val="0"/>
          <w:numId w:val="1002"/>
        </w:numPr>
        <w:pStyle w:val="Compact"/>
      </w:pPr>
      <w:r>
        <w:rPr>
          <w:bCs/>
          <w:b/>
        </w:rPr>
        <w:t xml:space="preserve">Participant Selection:</w:t>
      </w:r>
      <w:r>
        <w:t xml:space="preserve"> </w:t>
      </w:r>
      <w:r>
        <w:t xml:space="preserve">In-depth interviews with 25 leading mathematicians from KL institutions (including professors at Universiti Kebangsaan Malaysia and industry researchers at MIMOS Berhad).</w:t>
      </w:r>
    </w:p>
    <w:p>
      <w:pPr>
        <w:numPr>
          <w:ilvl w:val="0"/>
          <w:numId w:val="1002"/>
        </w:numPr>
        <w:pStyle w:val="Compact"/>
      </w:pPr>
      <w:r>
        <w:rPr>
          <w:bCs/>
          <w:b/>
        </w:rPr>
        <w:t xml:space="preserve">Data Collection:</w:t>
      </w:r>
      <w:r>
        <w:t xml:space="preserve"> </w:t>
      </w:r>
      <w:r>
        <w:t xml:space="preserve">Semi-structured interviews exploring curriculum development experiences, community engagement strategies, and institutional challenges.</w:t>
      </w:r>
    </w:p>
    <w:bookmarkEnd w:id="24"/>
    <w:bookmarkStart w:id="25" w:name="X289afaee9702922b32ca7dadb7b238793cf4d58"/>
    <w:p>
      <w:pPr>
        <w:pStyle w:val="Heading3"/>
      </w:pPr>
      <w:r>
        <w:t xml:space="preserve">Phase 2: Quantitative Validation (Months 7-14)</w:t>
      </w:r>
    </w:p>
    <w:p>
      <w:pPr>
        <w:numPr>
          <w:ilvl w:val="0"/>
          <w:numId w:val="1003"/>
        </w:numPr>
        <w:pStyle w:val="Compact"/>
      </w:pPr>
      <w:r>
        <w:rPr>
          <w:bCs/>
          <w:b/>
        </w:rPr>
        <w:t xml:space="preserve">Survey Design:</w:t>
      </w:r>
      <w:r>
        <w:t xml:space="preserve"> </w:t>
      </w:r>
      <w:r>
        <w:t xml:space="preserve">Online questionnaire distributed to 500+ secondary school mathematics teachers across Kuala Lumpur districts.</w:t>
      </w:r>
    </w:p>
    <w:p>
      <w:pPr>
        <w:numPr>
          <w:ilvl w:val="0"/>
          <w:numId w:val="1003"/>
        </w:numPr>
        <w:pStyle w:val="Compact"/>
      </w:pPr>
      <w:r>
        <w:rPr>
          <w:bCs/>
          <w:b/>
        </w:rPr>
        <w:t xml:space="preserve">Metrics:</w:t>
      </w:r>
      <w:r>
        <w:t xml:space="preserve"> </w:t>
      </w:r>
      <w:r>
        <w:t xml:space="preserve">Measured changes in student problem-solving skills, teacher confidence levels, and perceived relevance of mathematical concepts after exposure to mathematician-designed materials.</w:t>
      </w:r>
    </w:p>
    <w:bookmarkEnd w:id="25"/>
    <w:bookmarkStart w:id="26" w:name="X0233b6d8cce25af7c9955f0b2585299170c1f6c"/>
    <w:p>
      <w:pPr>
        <w:pStyle w:val="Heading3"/>
      </w:pPr>
      <w:r>
        <w:t xml:space="preserve">Phase 3: Framework Development (Months 15-18)</w:t>
      </w:r>
    </w:p>
    <w:p>
      <w:pPr>
        <w:numPr>
          <w:ilvl w:val="0"/>
          <w:numId w:val="1004"/>
        </w:numPr>
        <w:pStyle w:val="Compact"/>
      </w:pPr>
      <w:r>
        <w:rPr>
          <w:bCs/>
          <w:b/>
        </w:rPr>
        <w:t xml:space="preserve">Collaborative Workshops:</w:t>
      </w:r>
      <w:r>
        <w:t xml:space="preserve"> </w:t>
      </w:r>
      <w:r>
        <w:t xml:space="preserve">Co-creation sessions with mathematicians, educators, and Ministry of Education stakeholders to refine the proposed STEM framework.</w:t>
      </w:r>
    </w:p>
    <w:p>
      <w:pPr>
        <w:numPr>
          <w:ilvl w:val="0"/>
          <w:numId w:val="1004"/>
        </w:numPr>
        <w:pStyle w:val="Compact"/>
      </w:pPr>
      <w:r>
        <w:rPr>
          <w:bCs/>
          <w:b/>
        </w:rPr>
        <w:t xml:space="preserve">Impact Assessment:</w:t>
      </w:r>
      <w:r>
        <w:t xml:space="preserve"> </w:t>
      </w:r>
      <w:r>
        <w:t xml:space="preserve">Cost-benefit analysis comparing implementation costs against projected improvements in national mathematics exam pass rates.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promises transformative outcomes for Malaysia Kuala Lumpur:</w:t>
      </w:r>
    </w:p>
    <w:p>
      <w:pPr>
        <w:numPr>
          <w:ilvl w:val="0"/>
          <w:numId w:val="1005"/>
        </w:numPr>
        <w:pStyle w:val="Compact"/>
      </w:pPr>
      <w:r>
        <w:rPr>
          <w:bCs/>
          <w:b/>
        </w:rPr>
        <w:t xml:space="preserve">A Practical Pedagogical Framework:</w:t>
      </w:r>
      <w:r>
        <w:t xml:space="preserve"> </w:t>
      </w:r>
      <w:r>
        <w:t xml:space="preserve">A culturally embedded model for integrating computational mathematics into secondary curricula, tailored to Malaysian student contexts (e.g., using local agricultural data for statistics lessons or Islamic geometric patterns for spatial reasoning).</w:t>
      </w:r>
    </w:p>
    <w:p>
      <w:pPr>
        <w:numPr>
          <w:ilvl w:val="0"/>
          <w:numId w:val="1005"/>
        </w:numPr>
        <w:pStyle w:val="Compact"/>
      </w:pPr>
      <w:r>
        <w:rPr>
          <w:bCs/>
          <w:b/>
        </w:rPr>
        <w:t xml:space="preserve">Policy Influence:</w:t>
      </w:r>
      <w:r>
        <w:t xml:space="preserve"> </w:t>
      </w:r>
      <w:r>
        <w:t xml:space="preserve">Direct recommendations to the Ministry of Education and Malaysia Digital Economy Corporation (MDEC) on incentivizing mathematicians' educational outreach, potentially influencing national STEM funding allocations.</w:t>
      </w:r>
    </w:p>
    <w:p>
      <w:pPr>
        <w:numPr>
          <w:ilvl w:val="0"/>
          <w:numId w:val="1005"/>
        </w:numPr>
        <w:pStyle w:val="Compact"/>
      </w:pPr>
      <w:r>
        <w:rPr>
          <w:bCs/>
          <w:b/>
        </w:rPr>
        <w:t xml:space="preserve">Economic Impact:</w:t>
      </w:r>
      <w:r>
        <w:t xml:space="preserve"> </w:t>
      </w:r>
      <w:r>
        <w:t xml:space="preserve">Quantifiable evidence linking mathematician-led initiatives to increased enrollment in STEM tertiary programs—critical for Kuala Lumpur's goal of becoming ASEAN's "Tech Hub by 2030."</w:t>
      </w:r>
    </w:p>
    <w:p>
      <w:pPr>
        <w:numPr>
          <w:ilvl w:val="0"/>
          <w:numId w:val="1005"/>
        </w:numPr>
        <w:pStyle w:val="Compact"/>
      </w:pPr>
      <w:r>
        <w:rPr>
          <w:bCs/>
          <w:b/>
        </w:rPr>
        <w:t xml:space="preserve">Professional Recognition:</w:t>
      </w:r>
      <w:r>
        <w:t xml:space="preserve"> </w:t>
      </w:r>
      <w:r>
        <w:t xml:space="preserve">Elevating the status of mathematicians as societal contributors beyond academia, addressing Malaysia's brain drain challenge by showcasing local career pathways.</w:t>
      </w:r>
    </w:p>
    <w:p>
      <w:pPr>
        <w:pStyle w:val="FirstParagraph"/>
      </w:pPr>
      <w:r>
        <w:t xml:space="preserve">The significance extends beyond academia: By focusing on Malaysia Kuala Lumpur as a microcosm of ASEAN's educational challenges, this</w:t>
      </w:r>
      <w:r>
        <w:t xml:space="preserve"> </w:t>
      </w:r>
      <w:r>
        <w:rPr>
          <w:iCs/>
          <w:i/>
        </w:rPr>
        <w:t xml:space="preserve">Thesis Proposal</w:t>
      </w:r>
      <w:r>
        <w:t xml:space="preserve"> </w:t>
      </w:r>
      <w:r>
        <w:t xml:space="preserve">offers replicable strategies for nations seeking to bridge STEM education gaps through localized expertise. Crucially, it reframes the</w:t>
      </w:r>
      <w:r>
        <w:t xml:space="preserve"> </w:t>
      </w:r>
      <w:r>
        <w:rPr>
          <w:bCs/>
          <w:b/>
        </w:rPr>
        <w:t xml:space="preserve">Mathematician</w:t>
      </w:r>
      <w:r>
        <w:t xml:space="preserve"> </w:t>
      </w:r>
      <w:r>
        <w:t xml:space="preserve">not as an isolated scholar but as an indispensable community architect within Malaysia's socioeconomic development narrative.</w:t>
      </w:r>
    </w:p>
    <w:bookmarkEnd w:id="28"/>
    <w:bookmarkStart w:id="29" w:name="ethical-considerations-and-local-context"/>
    <w:p>
      <w:pPr>
        <w:pStyle w:val="Heading2"/>
      </w:pPr>
      <w:r>
        <w:t xml:space="preserve">7. Ethical Considerations and Local Context</w:t>
      </w:r>
    </w:p>
    <w:p>
      <w:pPr>
        <w:pStyle w:val="FirstParagraph"/>
      </w:pPr>
      <w:r>
        <w:t xml:space="preserve">All data collection will comply with the National Bioethics Act 2005, with informed consent obtained from all participants. Given Kuala Lumpur’s multi-ethnic demographic (Malay, Chinese, Indian, indigenous communities), the research prioritizes culturally sensitive methodologies: interviews in Bahasa Malaysia and English as needed; anonymization of data to protect institutional affiliations; and collaboration with the Malaysian Mathematical Society for community validation. The study acknowledges that mathematicians in KL face unique pressures—including balancing academic rigor with religious/cultural norms in education—which this research will ethically address rather than overlook.</w:t>
      </w:r>
    </w:p>
    <w:bookmarkEnd w:id="29"/>
    <w:bookmarkStart w:id="30" w:name="conclusion"/>
    <w:p>
      <w:pPr>
        <w:pStyle w:val="Heading2"/>
      </w:pPr>
      <w:r>
        <w:t xml:space="preserve">8. Conclusion</w:t>
      </w:r>
    </w:p>
    <w:p>
      <w:pPr>
        <w:pStyle w:val="FirstParagraph"/>
      </w:pPr>
      <w:r>
        <w:t xml:space="preserve">In an era where mathematical literacy drives innovation, Malaysia Kuala Lumpur stands at a pivotal moment to harness its mathematicians as catalysts for educational revolution. This</w:t>
      </w:r>
      <w:r>
        <w:t xml:space="preserve"> </w:t>
      </w:r>
      <w:r>
        <w:rPr>
          <w:iCs/>
          <w:i/>
        </w:rPr>
        <w:t xml:space="preserve">Thesis Proposal</w:t>
      </w:r>
      <w:r>
        <w:t xml:space="preserve"> </w:t>
      </w:r>
      <w:r>
        <w:t xml:space="preserve">argues that strategic investment in the professional ecosystem of local mathematicians—through institutional support, policy integration, and public recognition—will directly advance Malaysia’s national vision while enriching the global discourse on equitable STEM education. By centering the contributions of mathematicians within Malaysia’s urban educational landscape, this research transcends academic inquiry to deliver actionable pathways for building a more scientifically empowered society. The successful completion of this study will position Kuala Lumpur not merely as a location for mathematics education but as a model for how mathematicians can actively shape national progress in the 21st century.</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Mathematicians in Advancing STEM Education in Malaysia Kuala Lumpur</dc:title>
  <dc:creator/>
  <dc:language>en</dc:language>
  <cp:keywords/>
  <dcterms:created xsi:type="dcterms:W3CDTF">2026-07-23T12:26:39Z</dcterms:created>
  <dcterms:modified xsi:type="dcterms:W3CDTF">2026-07-23T12:26:39Z</dcterms:modified>
</cp:coreProperties>
</file>

<file path=docProps/custom.xml><?xml version="1.0" encoding="utf-8"?>
<Properties xmlns="http://schemas.openxmlformats.org/officeDocument/2006/custom-properties" xmlns:vt="http://schemas.openxmlformats.org/officeDocument/2006/docPropsVTypes"/>
</file>