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8" w:name="Xc803741a1443bf83dd64e81e6f13cab931804db"/>
    <w:p>
      <w:pPr>
        <w:pStyle w:val="Heading1"/>
      </w:pPr>
      <w:r>
        <w:t xml:space="preserve">Thesis Proposal on the Evolution of Mathematical Research and Practice in New Zealand Wellington</w:t>
      </w:r>
    </w:p>
    <w:bookmarkStart w:id="20" w:name="introduction"/>
    <w:p>
      <w:pPr>
        <w:pStyle w:val="Heading2"/>
      </w:pPr>
      <w:r>
        <w:t xml:space="preserve">1. Introduction</w:t>
      </w:r>
    </w:p>
    <w:p>
      <w:pPr>
        <w:pStyle w:val="FirstParagraph"/>
      </w:pPr>
      <w:r>
        <w:t xml:space="preserve">This Thesis Proposal outlines a comprehensive research program examining the critical role of the Mathematician within New Zealand's academic and industrial ecosystems, with specific focus on Wellington as a dynamic hub for mathematical innovation. As New Zealand Wellington continues to establish itself as a center for STEM advancement in the Pacific Rim, this study investigates how local Mathematician contributions directly influence regional economic development, educational frameworks, and interdisciplinary collaboration. The significance of this research is heightened by the unique geographical and cultural position of New Zealand Wellington—situated at the southern tip of Aotearoa with unparalleled access to oceanic and environmental data—that necessitates specialized mathematical approaches to contemporary challenges.</w:t>
      </w:r>
    </w:p>
    <w:p>
      <w:pPr>
        <w:pStyle w:val="BodyText"/>
      </w:pPr>
      <w:r>
        <w:t xml:space="preserve">Unlike metropolitan centers in Europe or North America, Mathematician professionals in New Zealand Wellington operate within a distinct context characterized by small-scale research institutions, strong industry-academia partnerships, and urgent local priorities such as climate resilience planning for coastal communities. This Thesis Proposal addresses the critical gap in understanding how individual Mathematician expertise adapts to these localized demands while contributing to global mathematical discourse. The proposed research will position Wellington not merely as a recipient of mathematical knowledge but as an active creator of innovative solutions relevant to both Pacific Island nations and New Zealand's national interests.</w:t>
      </w:r>
    </w:p>
    <w:bookmarkEnd w:id="20"/>
    <w:bookmarkStart w:id="21" w:name="Xcc8d2c4d516eb9162f8d75db7d6c038b7dfa63b"/>
    <w:p>
      <w:pPr>
        <w:pStyle w:val="Heading2"/>
      </w:pPr>
      <w:r>
        <w:t xml:space="preserve">2. Research Context: Mathematician in New Zealand Wellington</w:t>
      </w:r>
    </w:p>
    <w:p>
      <w:pPr>
        <w:pStyle w:val="FirstParagraph"/>
      </w:pPr>
      <w:r>
        <w:t xml:space="preserve">Wellington's mathematical ecosystem is anchored by the University of Wellington (Victoria University of Wellington), where the Department of Mathematics hosts cutting-edge research in applied mathematics, statistics, and computational modeling. The city's unique position as New Zealand's political capital facilitates unprecedented connections between Mathematician researchers and government agencies tackling issues like urban sustainability, pandemic modeling, and renewable energy systems. Recent initiatives such as the Wellington Data Science Hub demonstrate how Mathematician expertise directly informs policy decisions affecting 20% of New Zealand's population.</w:t>
      </w:r>
    </w:p>
    <w:p>
      <w:pPr>
        <w:pStyle w:val="BodyText"/>
      </w:pPr>
      <w:r>
        <w:t xml:space="preserve">However, this context presents distinctive challenges: limited research funding compared to global hubs, geographical isolation impacting international collaboration, and the need for mathematics that addresses uniquely Aotearoa-specific phenomena (e.g., seismic activity patterns, Māori land management systems). This Thesis Proposal will investigate how Mathematician professionals navigate these constraints through innovative methodological adaptations. We argue that Wellington's Mathematician community has developed a distinctive approach to mathematical practice—blending global theoretical frameworks with hyper-local application—that deserves scholarly attention as a model for other small nations.</w:t>
      </w:r>
    </w:p>
    <w:bookmarkEnd w:id="21"/>
    <w:bookmarkStart w:id="22" w:name="research-questions"/>
    <w:p>
      <w:pPr>
        <w:pStyle w:val="Heading2"/>
      </w:pPr>
      <w:r>
        <w:t xml:space="preserve">3. Research Questions</w:t>
      </w:r>
    </w:p>
    <w:p>
      <w:pPr>
        <w:numPr>
          <w:ilvl w:val="0"/>
          <w:numId w:val="1001"/>
        </w:numPr>
        <w:pStyle w:val="Compact"/>
      </w:pPr>
      <w:r>
        <w:t xml:space="preserve">How does the professional identity of a Mathematician in New Zealand Wellington differ from that in larger international academic centers?</w:t>
      </w:r>
    </w:p>
    <w:p>
      <w:pPr>
        <w:numPr>
          <w:ilvl w:val="0"/>
          <w:numId w:val="1001"/>
        </w:numPr>
        <w:pStyle w:val="Compact"/>
      </w:pPr>
      <w:r>
        <w:t xml:space="preserve">In what ways do local environmental, cultural, and economic factors uniquely shape mathematical research priorities in Wellington?</w:t>
      </w:r>
    </w:p>
    <w:p>
      <w:pPr>
        <w:numPr>
          <w:ilvl w:val="0"/>
          <w:numId w:val="1001"/>
        </w:numPr>
        <w:pStyle w:val="Compact"/>
      </w:pPr>
      <w:r>
        <w:t xml:space="preserve">What institutional strategies have enabled Mathematician professionals to maximize impact despite resource constraints in the New Zealand context?</w:t>
      </w:r>
    </w:p>
    <w:p>
      <w:pPr>
        <w:numPr>
          <w:ilvl w:val="0"/>
          <w:numId w:val="1001"/>
        </w:numPr>
        <w:pStyle w:val="Compact"/>
      </w:pPr>
      <w:r>
        <w:t xml:space="preserve">How can Wellington's Mathematician community model sustainable collaboration for emerging Pacific nations facing similar developmental challenges?</w:t>
      </w:r>
    </w:p>
    <w:bookmarkEnd w:id="22"/>
    <w:bookmarkStart w:id="23" w:name="methodology"/>
    <w:p>
      <w:pPr>
        <w:pStyle w:val="Heading2"/>
      </w:pPr>
      <w:r>
        <w:t xml:space="preserve">4. Methodology</w:t>
      </w:r>
    </w:p>
    <w:p>
      <w:pPr>
        <w:pStyle w:val="FirstParagraph"/>
      </w:pPr>
      <w:r>
        <w:t xml:space="preserve">This mixed-methods study will employ a three-pronged approach designed to capture the complexity of Mathematician practice in New Zealand Wellington:</w:t>
      </w:r>
    </w:p>
    <w:p>
      <w:pPr>
        <w:numPr>
          <w:ilvl w:val="0"/>
          <w:numId w:val="1002"/>
        </w:numPr>
        <w:pStyle w:val="Compact"/>
      </w:pPr>
      <w:r>
        <w:rPr>
          <w:bCs/>
          <w:b/>
        </w:rPr>
        <w:t xml:space="preserve">Qualitative Case Studies:</w:t>
      </w:r>
      <w:r>
        <w:t xml:space="preserve"> </w:t>
      </w:r>
      <w:r>
        <w:t xml:space="preserve">In-depth interviews with 15 senior Mathematician professionals from Victoria University, Crown Research Institutes (e.g., GNS Science), and tech startups in Wellington, focusing on their research trajectory within the local context.</w:t>
      </w:r>
    </w:p>
    <w:p>
      <w:pPr>
        <w:numPr>
          <w:ilvl w:val="0"/>
          <w:numId w:val="1002"/>
        </w:numPr>
        <w:pStyle w:val="Compact"/>
      </w:pPr>
      <w:r>
        <w:rPr>
          <w:bCs/>
          <w:b/>
        </w:rPr>
        <w:t xml:space="preserve">Network Analysis:</w:t>
      </w:r>
      <w:r>
        <w:t xml:space="preserve"> </w:t>
      </w:r>
      <w:r>
        <w:t xml:space="preserve">Mapping collaborative relationships through institutional records to identify how Mathematician networks form around Wellington-specific challenges like coastal erosion modeling or Māori health data analytics.</w:t>
      </w:r>
    </w:p>
    <w:p>
      <w:pPr>
        <w:numPr>
          <w:ilvl w:val="0"/>
          <w:numId w:val="1002"/>
        </w:numPr>
        <w:pStyle w:val="Compact"/>
      </w:pPr>
      <w:r>
        <w:rPr>
          <w:bCs/>
          <w:b/>
        </w:rPr>
        <w:t xml:space="preserve">Comparative Policy Review:</w:t>
      </w:r>
      <w:r>
        <w:t xml:space="preserve"> </w:t>
      </w:r>
      <w:r>
        <w:t xml:space="preserve">Analyzing government R&amp;D funding mechanisms in New Zealand versus similar nations (e.g., New Zealand vs. Australia, Canada) to assess how they enable Mathematician-led innovation in regional settings.</w:t>
      </w:r>
    </w:p>
    <w:p>
      <w:pPr>
        <w:pStyle w:val="FirstParagraph"/>
      </w:pPr>
      <w:r>
        <w:t xml:space="preserve">All data collection will prioritize ethical engagement with local communities and incorporate Te Tiriti o Waitangi principles of partnership and equity. The study will specifically examine how the Mathematician profession adapts its knowledge production processes to align with Māori epistemologies where relevant—such as in environmental modeling frameworks.</w:t>
      </w:r>
    </w:p>
    <w:bookmarkEnd w:id="23"/>
    <w:bookmarkStart w:id="24" w:name="expected-contributions"/>
    <w:p>
      <w:pPr>
        <w:pStyle w:val="Heading2"/>
      </w:pPr>
      <w:r>
        <w:t xml:space="preserve">5. Expected Contributions</w:t>
      </w:r>
    </w:p>
    <w:p>
      <w:pPr>
        <w:pStyle w:val="FirstParagraph"/>
      </w:pPr>
      <w:r>
        <w:t xml:space="preserve">This Thesis Proposal anticipates three major contributions to both academic and practical domains:</w:t>
      </w:r>
    </w:p>
    <w:p>
      <w:pPr>
        <w:numPr>
          <w:ilvl w:val="0"/>
          <w:numId w:val="1003"/>
        </w:numPr>
        <w:pStyle w:val="Compact"/>
      </w:pPr>
      <w:r>
        <w:rPr>
          <w:bCs/>
          <w:b/>
        </w:rPr>
        <w:t xml:space="preserve">Conceptual Innovation:</w:t>
      </w:r>
      <w:r>
        <w:t xml:space="preserve"> </w:t>
      </w:r>
      <w:r>
        <w:t xml:space="preserve">Development of a "Pacific-Contextualized Mathematician" framework that repositions small nations as active knowledge producers rather than passive consumers.</w:t>
      </w:r>
    </w:p>
    <w:p>
      <w:pPr>
        <w:numPr>
          <w:ilvl w:val="0"/>
          <w:numId w:val="1003"/>
        </w:numPr>
        <w:pStyle w:val="Compact"/>
      </w:pPr>
      <w:r>
        <w:rPr>
          <w:bCs/>
          <w:b/>
        </w:rPr>
        <w:t xml:space="preserve">Policy Impact:</w:t>
      </w:r>
      <w:r>
        <w:t xml:space="preserve"> </w:t>
      </w:r>
      <w:r>
        <w:t xml:space="preserve">Evidence-based recommendations for New Zealand's Ministry of Business, Innovation and Employment on optimizing Mathematician talent retention through localized research challenges (e.g., "Wellington Climate Resilience Data Challenges").</w:t>
      </w:r>
    </w:p>
    <w:p>
      <w:pPr>
        <w:numPr>
          <w:ilvl w:val="0"/>
          <w:numId w:val="1003"/>
        </w:numPr>
        <w:pStyle w:val="Compact"/>
      </w:pPr>
      <w:r>
        <w:rPr>
          <w:bCs/>
          <w:b/>
        </w:rPr>
        <w:t xml:space="preserve">Global Relevance:</w:t>
      </w:r>
      <w:r>
        <w:t xml:space="preserve"> </w:t>
      </w:r>
      <w:r>
        <w:t xml:space="preserve">A replicable model for other Pacific Island nations seeking to build mathematics capacity that addresses their specific environmental and social priorities.</w:t>
      </w:r>
    </w:p>
    <w:p>
      <w:pPr>
        <w:pStyle w:val="FirstParagraph"/>
      </w:pPr>
      <w:r>
        <w:t xml:space="preserve">Crucially, this research will move beyond abstract mathematical theory to demonstrate concrete value: how Mathematician work in New Zealand Wellington directly supports the government's Wellbeing Budget initiatives through predictive analytics for housing affordability, healthcare access, and climate adaptation planning.</w:t>
      </w:r>
    </w:p>
    <w:bookmarkEnd w:id="24"/>
    <w:bookmarkStart w:id="25" w:name="significance-for-new-zealand-wellington"/>
    <w:p>
      <w:pPr>
        <w:pStyle w:val="Heading2"/>
      </w:pPr>
      <w:r>
        <w:t xml:space="preserve">6. Significance for New Zealand Wellington</w:t>
      </w:r>
    </w:p>
    <w:p>
      <w:pPr>
        <w:pStyle w:val="FirstParagraph"/>
      </w:pPr>
      <w:r>
        <w:t xml:space="preserve">As New Zealand Wellington strives to become a "smart city" leader in the Asia-Pacific, this Thesis Proposal provides an essential roadmap for leveraging mathematical expertise as a catalyst for sustainable urban development. The research will directly inform key stakeholders including the Greater Wellington Regional Council's Digital Strategy and Victoria University's strategic plan to grow its mathematics department by 25% over five years. By documenting how Mathematician professionals transform local challenges into research opportunities—such as using wave pattern analytics to improve waterfront infrastructure—we demonstrate a tangible pathway for New Zealand Wellington to export its mathematical solutions globally while solving hyper-local problems.</w:t>
      </w:r>
    </w:p>
    <w:p>
      <w:pPr>
        <w:pStyle w:val="BodyText"/>
      </w:pPr>
      <w:r>
        <w:t xml:space="preserve">Importantly, this work counters the narrative that mathematical innovation is exclusively concentrated in major global cities. Instead, it elevates New Zealand Wellington as an exemplary case where resourcefulness and contextual intelligence create profound impact. The findings will empower local Mathematician professionals by validating their unique contributions to national development while providing a blueprint for how similar communities worldwide can cultivate mathematics-driven progress.</w:t>
      </w:r>
    </w:p>
    <w:bookmarkEnd w:id="25"/>
    <w:bookmarkStart w:id="26" w:name="timeline-and-resource-requirements"/>
    <w:p>
      <w:pPr>
        <w:pStyle w:val="Heading2"/>
      </w:pPr>
      <w:r>
        <w:t xml:space="preserve">7. Timeline and Resource Requirements</w:t>
      </w:r>
    </w:p>
    <w:p>
      <w:pPr>
        <w:pStyle w:val="FirstParagraph"/>
      </w:pPr>
      <w:r>
        <w:t xml:space="preserve">The research will be conducted over 18 months (January 2025–June 2026) with the following key milestones:</w:t>
      </w:r>
    </w:p>
    <w:p>
      <w:pPr>
        <w:numPr>
          <w:ilvl w:val="0"/>
          <w:numId w:val="1004"/>
        </w:numPr>
        <w:pStyle w:val="Compact"/>
      </w:pPr>
      <w:r>
        <w:rPr>
          <w:bCs/>
          <w:b/>
        </w:rPr>
        <w:t xml:space="preserve">Months 1-3:</w:t>
      </w:r>
      <w:r>
        <w:t xml:space="preserve"> </w:t>
      </w:r>
      <w:r>
        <w:t xml:space="preserve">Literature review and ethical approval from Victoria University's Human Ethics Committee</w:t>
      </w:r>
    </w:p>
    <w:p>
      <w:pPr>
        <w:numPr>
          <w:ilvl w:val="0"/>
          <w:numId w:val="1004"/>
        </w:numPr>
        <w:pStyle w:val="Compact"/>
      </w:pPr>
      <w:r>
        <w:rPr>
          <w:bCs/>
          <w:b/>
        </w:rPr>
        <w:t xml:space="preserve">Months 4-8:</w:t>
      </w:r>
      <w:r>
        <w:t xml:space="preserve"> </w:t>
      </w:r>
      <w:r>
        <w:t xml:space="preserve">Primary data collection through interviews and network mapping</w:t>
      </w:r>
    </w:p>
    <w:p>
      <w:pPr>
        <w:numPr>
          <w:ilvl w:val="0"/>
          <w:numId w:val="1004"/>
        </w:numPr>
        <w:pStyle w:val="Compact"/>
      </w:pPr>
      <w:r>
        <w:rPr>
          <w:bCs/>
          <w:b/>
        </w:rPr>
        <w:t xml:space="preserve">Months 9-12:</w:t>
      </w:r>
      <w:r>
        <w:t xml:space="preserve"> </w:t>
      </w:r>
      <w:r>
        <w:t xml:space="preserve">Qualitative analysis and comparative policy assessment</w:t>
      </w:r>
    </w:p>
    <w:p>
      <w:pPr>
        <w:numPr>
          <w:ilvl w:val="0"/>
          <w:numId w:val="1004"/>
        </w:numPr>
        <w:pStyle w:val="Compact"/>
      </w:pPr>
      <w:r>
        <w:rPr>
          <w:bCs/>
          <w:b/>
        </w:rPr>
        <w:t xml:space="preserve">Months 13-15:</w:t>
      </w:r>
      <w:r>
        <w:t xml:space="preserve"> </w:t>
      </w:r>
      <w:r>
        <w:t xml:space="preserve">Drafting thesis chapters with stakeholder feedback from Wellington-based Mathematician networks</w:t>
      </w:r>
    </w:p>
    <w:p>
      <w:pPr>
        <w:numPr>
          <w:ilvl w:val="0"/>
          <w:numId w:val="1004"/>
        </w:numPr>
        <w:pStyle w:val="Compact"/>
      </w:pPr>
      <w:r>
        <w:rPr>
          <w:bCs/>
          <w:b/>
        </w:rPr>
        <w:t xml:space="preserve">Months 16-18:</w:t>
      </w:r>
      <w:r>
        <w:t xml:space="preserve"> </w:t>
      </w:r>
      <w:r>
        <w:t xml:space="preserve">Final thesis completion and dissemination strategy development</w:t>
      </w:r>
    </w:p>
    <w:p>
      <w:pPr>
        <w:pStyle w:val="FirstParagraph"/>
      </w:pPr>
      <w:r>
        <w:t xml:space="preserve">The required resources include access to Victoria University research databases, travel funds for regional interviews within New Zealand Wellington, and a dedicated research assistant with local knowledge of the Mathematician community. All findings will be shared through open-access publications via the Wellington Mathematical Society and policy briefings for New Zealand's Ministry of Science and Innovation.</w:t>
      </w:r>
    </w:p>
    <w:bookmarkEnd w:id="26"/>
    <w:bookmarkStart w:id="27" w:name="conclusion"/>
    <w:p>
      <w:pPr>
        <w:pStyle w:val="Heading2"/>
      </w:pPr>
      <w:r>
        <w:t xml:space="preserve">8. Conclusion</w:t>
      </w:r>
    </w:p>
    <w:p>
      <w:pPr>
        <w:pStyle w:val="FirstParagraph"/>
      </w:pPr>
      <w:r>
        <w:t xml:space="preserve">This Thesis Proposal establishes a compelling case for studying the Mathematician profession within New Zealand Wellington as a vital nexus between theoretical mathematics and practical regional development. It recognizes that in our interconnected world, innovation often emerges from the most unexpected places—and Wellington's unique position as New Zealand's mathematical capital offers invaluable lessons about resilience, adaptation, and context-driven problem-solving. By centering this research on the lived experiences of Mathematician professionals in Wellington, we move beyond generic academic inquiry to create knowledge that actively serves New Zealand's communities while contributing to global mathematical discourse. This work will not merely document a local phenomenon but will help shape how the world understands mathematics as a fundamentally place-based discipline with extraordinary potential for positive impact in every community, especially those facing the dual challenges of geographic isolation and urgent sustainability needs.</w:t>
      </w:r>
    </w:p>
    <w:bookmarkEnd w:id="27"/>
    <w:p>
      <w:pPr>
        <w:pStyle w:val="BodyText"/>
      </w:pPr>
      <w:r>
        <w:t xml:space="preserve">This Thesis Proposal aligns with the University of Victoria Wellington's strategic focus on "Mathematics for National Wellbeing" and supports New Zealand's commitment to the United Nations Sustainable Development Goals (SDGs 4, 9, and 11).</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New Zealand Wellington Context</dc:title>
  <dc:creator/>
  <dc:language>en</dc:language>
  <cp:keywords/>
  <dcterms:created xsi:type="dcterms:W3CDTF">2026-07-23T15:20:54Z</dcterms:created>
  <dcterms:modified xsi:type="dcterms:W3CDTF">2026-07-23T15:20:54Z</dcterms:modified>
</cp:coreProperties>
</file>

<file path=docProps/custom.xml><?xml version="1.0" encoding="utf-8"?>
<Properties xmlns="http://schemas.openxmlformats.org/officeDocument/2006/custom-properties" xmlns:vt="http://schemas.openxmlformats.org/officeDocument/2006/docPropsVTypes"/>
</file>