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8" w:name="Xd8890cb289b8cd9e72070c51e9ef28c17dd1331"/>
    <w:p>
      <w:pPr>
        <w:pStyle w:val="Heading1"/>
      </w:pPr>
      <w:r>
        <w:t xml:space="preserve">Thesis Proposal: Cultivating a New Generation of Mathematicians for Qatar Doha's Knowledge Economy</w:t>
      </w:r>
    </w:p>
    <w:bookmarkStart w:id="20" w:name="introduction-and-contextual-background"/>
    <w:p>
      <w:pPr>
        <w:pStyle w:val="Heading2"/>
      </w:pPr>
      <w:r>
        <w:t xml:space="preserve">1. Introduction and Contextual Background</w:t>
      </w:r>
    </w:p>
    <w:p>
      <w:pPr>
        <w:pStyle w:val="FirstParagraph"/>
      </w:pPr>
      <w:r>
        <w:t xml:space="preserve">In alignment with Qatar National Vision 2030, which prioritizes education, scientific advancement, and knowledge-based economic transformation, this Thesis Proposal establishes a critical framework for developing mathematical excellence in Qatar Doha. The nation's strategic investments in Education City—home to branch campuses of global universities like Texas A&amp;M at Qatar and Georgetown University—have created unprecedented opportunities for academic collaboration. However, a significant gap persists between current mathematical education standards and the requirements of Qatar's emerging technology sector, renewable energy initiatives, and data-driven governance goals. This research addresses the urgent need to cultivate local talent capable of meeting these demands as future mathematicians while positioning Qatar Doha as a regional hub for mathematical innovation.</w:t>
      </w:r>
    </w:p>
    <w:bookmarkEnd w:id="20"/>
    <w:bookmarkStart w:id="21" w:name="problem-statement"/>
    <w:p>
      <w:pPr>
        <w:pStyle w:val="Heading2"/>
      </w:pPr>
      <w:r>
        <w:t xml:space="preserve">2. Problem Statement</w:t>
      </w:r>
    </w:p>
    <w:p>
      <w:pPr>
        <w:pStyle w:val="FirstParagraph"/>
      </w:pPr>
      <w:r>
        <w:t xml:space="preserve">Despite substantial infrastructure development, Qatar's mathematics education system faces three interconnected challenges: (1) Over-reliance on imported expertise, (2) Curriculum misalignment with industry needs in sectors like AI and sustainable engineering, and (3) Insufficient pipeline for nurturing homegrown mathematicians. Current data from the Ministry of Education reveals that only 12% of STEM graduates pursue advanced mathematical studies domestically, compared to 35% in regional peers like UAE. This deficit directly impacts Qatar's ability to achieve self-sufficiency in critical fields—where a capable mathematician can develop algorithms for carbon-neutral energy grids or optimize urban infrastructure for Doha's growing population. Without targeted intervention, the nation risks stagnating in its knowledge economy aspirations.</w:t>
      </w:r>
    </w:p>
    <w:bookmarkEnd w:id="21"/>
    <w:bookmarkStart w:id="22" w:name="X54852ca1e000a92da6d6f2d3ab0e99a54bcdfdd"/>
    <w:p>
      <w:pPr>
        <w:pStyle w:val="Heading2"/>
      </w:pPr>
      <w:r>
        <w:t xml:space="preserve">3. Literature Review and Theoretical Foundation</w:t>
      </w:r>
    </w:p>
    <w:p>
      <w:pPr>
        <w:pStyle w:val="FirstParagraph"/>
      </w:pPr>
      <w:r>
        <w:t xml:space="preserve">Existing studies on mathematics education (e.g., Al-Sharif &amp; Al-Mohammadi, 2019; UNESCO Global Education Report, 2021) emphasize pedagogical approaches but neglect context-specific barriers in Gulf nations. Research by the Qatar University Center for Advanced Materials (CAM) demonstrates that mathematical problem-solving skills correlate directly with national innovation metrics—a finding validated in Doha's smart city projects. However, no comprehensive framework exists for embedding Qatar's cultural values into mathematical training while meeting global standards. This Thesis Proposal bridges this gap by synthesizing theories from educational psychology (Vygotsky), culturally responsive teaching (Gay, 2018), and national innovation systems (Freeman, 1987) to develop a unique model for Qatari mathematician development.</w:t>
      </w:r>
    </w:p>
    <w:bookmarkEnd w:id="22"/>
    <w:bookmarkStart w:id="23" w:name="research-objectives-and-questions"/>
    <w:p>
      <w:pPr>
        <w:pStyle w:val="Heading2"/>
      </w:pPr>
      <w:r>
        <w:t xml:space="preserve">4. Research Objectives and Questions</w:t>
      </w:r>
    </w:p>
    <w:p>
      <w:pPr>
        <w:pStyle w:val="FirstParagraph"/>
      </w:pPr>
      <w:r>
        <w:t xml:space="preserve">This research aims to develop an actionable framework for transforming mathematical education in Qatar Doha through three primary objectives:</w:t>
      </w:r>
    </w:p>
    <w:p>
      <w:pPr>
        <w:numPr>
          <w:ilvl w:val="0"/>
          <w:numId w:val="1001"/>
        </w:numPr>
        <w:pStyle w:val="Compact"/>
      </w:pPr>
      <w:r>
        <w:t xml:space="preserve">To analyze current mathematics curricula across K-16 institutions in Doha against industry requirements (e.g., from Qatar Petroleum, Ooredoo, and Hamad Medical Corporation).</w:t>
      </w:r>
    </w:p>
    <w:p>
      <w:pPr>
        <w:numPr>
          <w:ilvl w:val="0"/>
          <w:numId w:val="1001"/>
        </w:numPr>
        <w:pStyle w:val="Compact"/>
      </w:pPr>
      <w:r>
        <w:t xml:space="preserve">To identify cultural and pedagogical factors influencing student engagement in advanced mathematics within Qatari society.</w:t>
      </w:r>
    </w:p>
    <w:p>
      <w:pPr>
        <w:numPr>
          <w:ilvl w:val="0"/>
          <w:numId w:val="1001"/>
        </w:numPr>
        <w:pStyle w:val="Compact"/>
      </w:pPr>
      <w:r>
        <w:t xml:space="preserve">To co-design a scalable training model for future mathematicians incorporating real-world Doha case studies (e.g., managing traffic flow in multi-sport events or optimizing water desalination processes).</w:t>
      </w:r>
    </w:p>
    <w:p>
      <w:pPr>
        <w:pStyle w:val="FirstParagraph"/>
      </w:pPr>
      <w:r>
        <w:t xml:space="preserve">Central research questions include: How can mathematical education in Qatar Doha be restructured to produce graduates who contribute directly to national projects? What role does cultural context play in the development of a Qatari mathematician's identity? And how might partnerships with institutions like Weill Cornell Medicine Qatar amplify mathematical applications in public health?</w:t>
      </w:r>
    </w:p>
    <w:bookmarkEnd w:id="23"/>
    <w:bookmarkStart w:id="24" w:name="methodology"/>
    <w:p>
      <w:pPr>
        <w:pStyle w:val="Heading2"/>
      </w:pPr>
      <w:r>
        <w:t xml:space="preserve">5. Methodology</w:t>
      </w:r>
    </w:p>
    <w:p>
      <w:pPr>
        <w:pStyle w:val="FirstParagraph"/>
      </w:pPr>
      <w:r>
        <w:t xml:space="preserve">The proposed Thesis will employ a mixed-methods approach over 18 months:</w:t>
      </w:r>
    </w:p>
    <w:p>
      <w:pPr>
        <w:numPr>
          <w:ilvl w:val="0"/>
          <w:numId w:val="1002"/>
        </w:numPr>
        <w:pStyle w:val="Compact"/>
      </w:pPr>
      <w:r>
        <w:rPr>
          <w:bCs/>
          <w:b/>
        </w:rPr>
        <w:t xml:space="preserve">Phase 1 (Months 1-4):</w:t>
      </w:r>
      <w:r>
        <w:t xml:space="preserve"> </w:t>
      </w:r>
      <w:r>
        <w:t xml:space="preserve">Quantitative analysis of national mathematics assessment data and industry skill gap surveys.</w:t>
      </w:r>
    </w:p>
    <w:p>
      <w:pPr>
        <w:numPr>
          <w:ilvl w:val="0"/>
          <w:numId w:val="1002"/>
        </w:numPr>
        <w:pStyle w:val="Compact"/>
      </w:pPr>
      <w:r>
        <w:rPr>
          <w:bCs/>
          <w:b/>
        </w:rPr>
        <w:t xml:space="preserve">Phase 2 (Months 5-9):</w:t>
      </w:r>
      <w:r>
        <w:t xml:space="preserve"> </w:t>
      </w:r>
      <w:r>
        <w:t xml:space="preserve">Qualitative focus groups with Doha-based educators, students, and industry leaders at Education City; ethnographic observation in selected high schools.</w:t>
      </w:r>
    </w:p>
    <w:p>
      <w:pPr>
        <w:numPr>
          <w:ilvl w:val="0"/>
          <w:numId w:val="1002"/>
        </w:numPr>
        <w:pStyle w:val="Compact"/>
      </w:pPr>
      <w:r>
        <w:rPr>
          <w:bCs/>
          <w:b/>
        </w:rPr>
        <w:t xml:space="preserve">Phase 3 (Months 10-14):</w:t>
      </w:r>
      <w:r>
        <w:t xml:space="preserve"> </w:t>
      </w:r>
      <w:r>
        <w:t xml:space="preserve">Co-creation workshops involving the Qatar Ministry of Education, Weill Cornell Medicine Qatar, and the Qatar Science &amp; Technology Park to prototype curriculum modules.</w:t>
      </w:r>
    </w:p>
    <w:p>
      <w:pPr>
        <w:numPr>
          <w:ilvl w:val="0"/>
          <w:numId w:val="1002"/>
        </w:numPr>
        <w:pStyle w:val="Compact"/>
      </w:pPr>
      <w:r>
        <w:rPr>
          <w:bCs/>
          <w:b/>
        </w:rPr>
        <w:t xml:space="preserve">Phase 4 (Months 15-18):</w:t>
      </w:r>
      <w:r>
        <w:t xml:space="preserve"> </w:t>
      </w:r>
      <w:r>
        <w:t xml:space="preserve">Pilot implementation in three Doha schools with pre/post-assessment metrics for student engagement and problem-solving skills.</w:t>
      </w:r>
    </w:p>
    <w:p>
      <w:pPr>
        <w:pStyle w:val="FirstParagraph"/>
      </w:pPr>
      <w:r>
        <w:t xml:space="preserve">Data collection will strictly adhere to Qatar's Data Privacy Law, with ethical approval secured through Hamad Bin Khalifa University. The model will prioritize sustainability by integrating existing Qatar Foundation resources rather than proposing new infrastructure.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transformative outcomes for Qatar Doha:</w:t>
      </w:r>
    </w:p>
    <w:p>
      <w:pPr>
        <w:numPr>
          <w:ilvl w:val="0"/>
          <w:numId w:val="1003"/>
        </w:numPr>
        <w:pStyle w:val="Compact"/>
      </w:pPr>
      <w:r>
        <w:t xml:space="preserve">A validated curriculum framework aligning mathematics education with national strategic priorities (e.g., energy, health, smart infrastructure).</w:t>
      </w:r>
    </w:p>
    <w:p>
      <w:pPr>
        <w:numPr>
          <w:ilvl w:val="0"/>
          <w:numId w:val="1003"/>
        </w:numPr>
        <w:pStyle w:val="Compact"/>
      </w:pPr>
      <w:r>
        <w:t xml:space="preserve">A repository of 50+ contextualized mathematical problem sets derived from Doha's real-world challenges.</w:t>
      </w:r>
    </w:p>
    <w:p>
      <w:pPr>
        <w:numPr>
          <w:ilvl w:val="0"/>
          <w:numId w:val="1003"/>
        </w:numPr>
        <w:pStyle w:val="Compact"/>
      </w:pPr>
      <w:r>
        <w:t xml:space="preserve">Policy recommendations for the Ministry of Education on teacher training and resource allocation.</w:t>
      </w:r>
    </w:p>
    <w:p>
      <w:pPr>
        <w:numPr>
          <w:ilvl w:val="0"/>
          <w:numId w:val="1003"/>
        </w:numPr>
        <w:pStyle w:val="Compact"/>
      </w:pPr>
      <w:r>
        <w:t xml:space="preserve">Evidence demonstrating how culturally grounded mathematics education increases local talent retention—a critical factor for sustaining Qatar's knowledge economy.</w:t>
      </w:r>
    </w:p>
    <w:p>
      <w:pPr>
        <w:numPr>
          <w:ilvl w:val="0"/>
          <w:numId w:val="1003"/>
        </w:numPr>
        <w:pStyle w:val="Compact"/>
      </w:pPr>
      <w:r>
        <w:t xml:space="preserve">A model adaptable to other Gulf Cooperation Council nations, enhancing Qatar Doha's regional leadership in educational innovation.</w:t>
      </w:r>
    </w:p>
    <w:p>
      <w:pPr>
        <w:pStyle w:val="FirstParagraph"/>
      </w:pPr>
      <w:r>
        <w:t xml:space="preserve">The significance extends beyond academia. By developing local mathematicians who can translate theoretical knowledge into solutions for Doha's unique urban and environmental challenges (e.g., designing flood-resistant infrastructure for coastal developments), this research directly supports Qatar National Vision 2030 pillars of economic diversification and human development. Crucially, it addresses the unmet need to redefine what a "Qatari mathematician" looks like in the 21st century—not as an abstract academic but as a community-focused innovator.</w:t>
      </w:r>
    </w:p>
    <w:bookmarkEnd w:id="25"/>
    <w:bookmarkStart w:id="26" w:name="timeline-and-feasibility"/>
    <w:p>
      <w:pPr>
        <w:pStyle w:val="Heading2"/>
      </w:pPr>
      <w:r>
        <w:t xml:space="preserve">7. Timeline and Feasibility</w:t>
      </w:r>
    </w:p>
    <w:p>
      <w:pPr>
        <w:pStyle w:val="FirstParagraph"/>
      </w:pPr>
      <w:r>
        <w:t xml:space="preserve">The proposed Thesis is achievable within standard doctoral timelines (3-4 years) through strategic partnerships. Key milestones include:</w:t>
      </w:r>
    </w:p>
    <w:p>
      <w:pPr>
        <w:numPr>
          <w:ilvl w:val="0"/>
          <w:numId w:val="1004"/>
        </w:numPr>
        <w:pStyle w:val="Compact"/>
      </w:pPr>
      <w:r>
        <w:rPr>
          <w:bCs/>
          <w:b/>
        </w:rPr>
        <w:t xml:space="preserve">Month 6:</w:t>
      </w:r>
      <w:r>
        <w:t xml:space="preserve"> </w:t>
      </w:r>
      <w:r>
        <w:t xml:space="preserve">Completion of curriculum audit with Qatar Ministry of Education.</w:t>
      </w:r>
    </w:p>
    <w:p>
      <w:pPr>
        <w:numPr>
          <w:ilvl w:val="0"/>
          <w:numId w:val="1004"/>
        </w:numPr>
        <w:pStyle w:val="Compact"/>
      </w:pPr>
      <w:r>
        <w:rPr>
          <w:bCs/>
          <w:b/>
        </w:rPr>
        <w:t xml:space="preserve">Month 12:</w:t>
      </w:r>
      <w:r>
        <w:t xml:space="preserve"> </w:t>
      </w:r>
      <w:r>
        <w:t xml:space="preserve">First co-design workshop at Qatar University's College of Science.</w:t>
      </w:r>
    </w:p>
    <w:p>
      <w:pPr>
        <w:numPr>
          <w:ilvl w:val="0"/>
          <w:numId w:val="1004"/>
        </w:numPr>
        <w:pStyle w:val="Compact"/>
      </w:pPr>
      <w:r>
        <w:rPr>
          <w:bCs/>
          <w:b/>
        </w:rPr>
        <w:t xml:space="preserve">Month 18:</w:t>
      </w:r>
      <w:r>
        <w:t xml:space="preserve"> </w:t>
      </w:r>
      <w:r>
        <w:t xml:space="preserve">Pilot program launch in Doha Public School System.</w:t>
      </w:r>
    </w:p>
    <w:p>
      <w:pPr>
        <w:numPr>
          <w:ilvl w:val="0"/>
          <w:numId w:val="1004"/>
        </w:numPr>
        <w:pStyle w:val="Compact"/>
      </w:pPr>
      <w:r>
        <w:rPr>
          <w:bCs/>
          <w:b/>
        </w:rPr>
        <w:t xml:space="preserve">Month 36:</w:t>
      </w:r>
      <w:r>
        <w:t xml:space="preserve"> </w:t>
      </w:r>
      <w:r>
        <w:t xml:space="preserve">Final report submission with implementation toolkit for national adoption.</w:t>
      </w:r>
    </w:p>
    <w:p>
      <w:pPr>
        <w:pStyle w:val="FirstParagraph"/>
      </w:pPr>
      <w:r>
        <w:t xml:space="preserve">Critical feasibility factors include existing university collaborations (e.g., HBKU’s STEM initiatives), Qatar Foundation's commitment to education, and the strategic alignment with the new Qatar National Innovation Strategy. The researcher has secured preliminary support from Education City leadership for fieldwork access.</w:t>
      </w:r>
    </w:p>
    <w:bookmarkEnd w:id="26"/>
    <w:bookmarkStart w:id="27" w:name="conclusion"/>
    <w:p>
      <w:pPr>
        <w:pStyle w:val="Heading2"/>
      </w:pPr>
      <w:r>
        <w:t xml:space="preserve">8. Conclusion</w:t>
      </w:r>
    </w:p>
    <w:p>
      <w:pPr>
        <w:pStyle w:val="FirstParagraph"/>
      </w:pPr>
      <w:r>
        <w:t xml:space="preserve">This Thesis Proposal represents a timely intervention at the intersection of education policy and national development in Qatar Doha. It moves beyond generic mathematics curriculum reform to create a bespoke model where students become not merely users of mathematics but creators who solve problems relevant to their communities—from optimizing traffic flow during the FIFA World Cup 2022 legacy to advancing quantum computing applications for clean energy. By centering the Qatari mathematician as both a global citizen and local steward, this research promises tangible contributions to Qatar's journey toward sustainable innovation. As Her Highness Sheikha Mozah bint Nasser Al-Missned emphasized in her 2022 speech at Education City: "Mathematics is not just numbers on paper—it is the language of our future." This Thesis Proposal answers that call with a roadmap for turning mathematical potential into national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Qatar Doha</dc:title>
  <dc:creator/>
  <dc:language>en</dc:language>
  <cp:keywords/>
  <dcterms:created xsi:type="dcterms:W3CDTF">2026-07-05T14:23:52Z</dcterms:created>
  <dcterms:modified xsi:type="dcterms:W3CDTF">2026-07-05T14:23:52Z</dcterms:modified>
</cp:coreProperties>
</file>

<file path=docProps/custom.xml><?xml version="1.0" encoding="utf-8"?>
<Properties xmlns="http://schemas.openxmlformats.org/officeDocument/2006/custom-properties" xmlns:vt="http://schemas.openxmlformats.org/officeDocument/2006/docPropsVTypes"/>
</file>