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in</w:t>
      </w:r>
      <w:r>
        <w:t xml:space="preserve"> </w:t>
      </w:r>
      <w:r>
        <w:t xml:space="preserve">Cryptographic</w:t>
      </w:r>
      <w:r>
        <w:t xml:space="preserve"> </w:t>
      </w:r>
      <w:r>
        <w:t xml:space="preserve">Applications</w:t>
      </w:r>
      <w:r>
        <w:t xml:space="preserve"> </w:t>
      </w:r>
      <w:r>
        <w:t xml:space="preserve">for</w:t>
      </w:r>
      <w:r>
        <w:t xml:space="preserve"> </w:t>
      </w:r>
      <w:r>
        <w:t xml:space="preserve">Russia</w:t>
      </w:r>
      <w:r>
        <w:t xml:space="preserve"> </w:t>
      </w:r>
      <w:r>
        <w:t xml:space="preserve">Moscow</w:t>
      </w:r>
    </w:p>
    <w:bookmarkStart w:id="29" w:name="Xcee91d45e87e0fc3f0f7f3ae686b40d5452c69f"/>
    <w:p>
      <w:pPr>
        <w:pStyle w:val="Heading1"/>
      </w:pPr>
      <w:r>
        <w:t xml:space="preserve">Thesis Proposal: Advancing Algebraic Geometry in Cryptographic Applications for Russia Moscow</w:t>
      </w:r>
    </w:p>
    <w:bookmarkStart w:id="20" w:name="introduction"/>
    <w:p>
      <w:pPr>
        <w:pStyle w:val="Heading2"/>
      </w:pPr>
      <w:r>
        <w:t xml:space="preserve">Introduction</w:t>
      </w:r>
    </w:p>
    <w:p>
      <w:pPr>
        <w:pStyle w:val="FirstParagraph"/>
      </w:pPr>
      <w:r>
        <w:t xml:space="preserve">The pursuit of mathematical excellence remains a cornerstone of scientific progress in Russia, particularly within the prestigious academic ecosystem centered around Moscow. As a dedicated Mathematician with deep roots in Russian mathematical tradition, this Thesis Proposal outlines a groundbreaking research trajectory at the intersection of algebraic geometry and modern cryptography. The significance of this work extends beyond theoretical mathematics; it directly addresses critical security challenges facing digital infrastructure across</w:t>
      </w:r>
      <w:r>
        <w:t xml:space="preserve"> </w:t>
      </w:r>
      <w:r>
        <w:rPr>
          <w:bCs/>
          <w:b/>
        </w:rPr>
        <w:t xml:space="preserve">Russia Moscow</w:t>
      </w:r>
      <w:r>
        <w:t xml:space="preserve"> </w:t>
      </w:r>
      <w:r>
        <w:t xml:space="preserve">and globally. By leveraging Moscow's rich heritage in pure mathematics—evidenced by institutions like the Steklov Mathematical Institute and Moscow State University—this research aims to produce innovations with tangible societal impact while honoring Russia's legacy as a global leader in mathematical sciences.</w:t>
      </w:r>
    </w:p>
    <w:bookmarkEnd w:id="20"/>
    <w:bookmarkStart w:id="21" w:name="problem-statement"/>
    <w:p>
      <w:pPr>
        <w:pStyle w:val="Heading2"/>
      </w:pPr>
      <w:r>
        <w:t xml:space="preserve">Problem Statement</w:t>
      </w:r>
    </w:p>
    <w:p>
      <w:pPr>
        <w:pStyle w:val="FirstParagraph"/>
      </w:pPr>
      <w:r>
        <w:t xml:space="preserve">Current cryptographic systems, including widely deployed public-key infrastructure, face escalating threats from quantum computing advancements. While lattice-based cryptography dominates post-quantum research, algebraic geometry codes represent an underutilized yet theoretically robust alternative. In the context of</w:t>
      </w:r>
      <w:r>
        <w:t xml:space="preserve"> </w:t>
      </w:r>
      <w:r>
        <w:rPr>
          <w:bCs/>
          <w:b/>
        </w:rPr>
        <w:t xml:space="preserve">Russia Moscow</w:t>
      </w:r>
      <w:r>
        <w:t xml:space="preserve">, where national cybersecurity strategies prioritize domestic cryptographic solutions (as seen in the 2020 Federal Law on Information Security), there exists a critical gap: Russian mathematical institutions have not yet fully harnessed algebraic geometry for next-generation cryptographic protocols. This Thesis Proposal directly confronts this challenge by developing novel algebraic geometry-based encryption frameworks uniquely suited to Russia's digital sovereignty objectives.</w:t>
      </w:r>
    </w:p>
    <w:bookmarkEnd w:id="21"/>
    <w:bookmarkStart w:id="22" w:name="literature-review"/>
    <w:p>
      <w:pPr>
        <w:pStyle w:val="Heading2"/>
      </w:pPr>
      <w:r>
        <w:t xml:space="preserve">Literature Review</w:t>
      </w:r>
    </w:p>
    <w:p>
      <w:pPr>
        <w:pStyle w:val="FirstParagraph"/>
      </w:pPr>
      <w:r>
        <w:t xml:space="preserve">Existing research demonstrates that algebraic geometry codes (AG codes) offer superior error-correcting capabilities compared to classical methods, as proven in seminal works by Goppa and Tsfasman-Vlăduţ-Zink. However, the cryptographic application of AG codes remains largely theoretical outside Western academic circles. Crucially, Russian mathematical contributions to this field—such as the work of Yuri Manin on algebraic surfaces at Moscow State University—have not been systematically integrated into practical cryptographic implementations. This gap is particularly pronounced in</w:t>
      </w:r>
      <w:r>
        <w:t xml:space="preserve"> </w:t>
      </w:r>
      <w:r>
        <w:rPr>
          <w:bCs/>
          <w:b/>
        </w:rPr>
        <w:t xml:space="preserve">Russia Moscow</w:t>
      </w:r>
      <w:r>
        <w:t xml:space="preserve">, where the Mathematical Institute of the Russian Academy of Sciences has historically focused on pure mathematics without sufficient application-oriented translation. This Thesis Proposal bridges that divide by establishing a roadmap for translating abstract algebraic geometry into deployable security protocols.</w:t>
      </w:r>
    </w:p>
    <w:bookmarkEnd w:id="22"/>
    <w:bookmarkStart w:id="23" w:name="research-objectives-and-questions"/>
    <w:p>
      <w:pPr>
        <w:pStyle w:val="Heading2"/>
      </w:pPr>
      <w:r>
        <w:t xml:space="preserve">Research Objectives and Questions</w:t>
      </w:r>
    </w:p>
    <w:p>
      <w:pPr>
        <w:pStyle w:val="FirstParagraph"/>
      </w:pPr>
      <w:r>
        <w:t xml:space="preserve">This research seeks to answer three pivotal questions:</w:t>
      </w:r>
    </w:p>
    <w:p>
      <w:pPr>
        <w:numPr>
          <w:ilvl w:val="0"/>
          <w:numId w:val="1001"/>
        </w:numPr>
        <w:pStyle w:val="Compact"/>
      </w:pPr>
      <w:r>
        <w:t xml:space="preserve">How can genus-3 algebraic curves over finite fields be optimized for cryptographic key exchange while maintaining quantum resistance?</w:t>
      </w:r>
    </w:p>
    <w:p>
      <w:pPr>
        <w:numPr>
          <w:ilvl w:val="0"/>
          <w:numId w:val="1001"/>
        </w:numPr>
        <w:pStyle w:val="Compact"/>
      </w:pPr>
      <w:r>
        <w:t xml:space="preserve">What computational frameworks can efficiently implement AG code-based encryption within Moscow's national cybersecurity infrastructure?</w:t>
      </w:r>
    </w:p>
    <w:p>
      <w:pPr>
        <w:numPr>
          <w:ilvl w:val="0"/>
          <w:numId w:val="1001"/>
        </w:numPr>
        <w:pStyle w:val="Compact"/>
      </w:pPr>
      <w:r>
        <w:t xml:space="preserve">How might such systems outperform lattice-based alternatives in resource-constrained environments prevalent across Russian government networks?</w:t>
      </w:r>
    </w:p>
    <w:p>
      <w:pPr>
        <w:pStyle w:val="FirstParagraph"/>
      </w:pPr>
      <w:r>
        <w:t xml:space="preserve">The primary objective is to design and validate a new cryptographic suite—dubbed "Moscow AG-Crypto"—that leverages the mathematical expertise of Moscow's academic community. As an emerging Mathematician at the forefront of this field, I will collaborate with cryptographers at the Moscow Institute for Physics and Technology (MIPT) and quantum computing researchers at Skolkovo Innovation Center to ensure practical relevance.</w:t>
      </w:r>
    </w:p>
    <w:bookmarkEnd w:id="23"/>
    <w:bookmarkStart w:id="24" w:name="methodology"/>
    <w:p>
      <w:pPr>
        <w:pStyle w:val="Heading2"/>
      </w:pPr>
      <w:r>
        <w:t xml:space="preserve">Methodology</w:t>
      </w:r>
    </w:p>
    <w:p>
      <w:pPr>
        <w:pStyle w:val="FirstParagraph"/>
      </w:pPr>
      <w:r>
        <w:t xml:space="preserve">This thesis employs a tripartite methodology grounded in Moscow's mathematical tradition:</w:t>
      </w:r>
    </w:p>
    <w:p>
      <w:pPr>
        <w:numPr>
          <w:ilvl w:val="0"/>
          <w:numId w:val="1002"/>
        </w:numPr>
        <w:pStyle w:val="Compact"/>
      </w:pPr>
      <w:r>
        <w:rPr>
          <w:bCs/>
          <w:b/>
        </w:rPr>
        <w:t xml:space="preserve">Theoretical Development:</w:t>
      </w:r>
      <w:r>
        <w:t xml:space="preserve"> </w:t>
      </w:r>
      <w:r>
        <w:t xml:space="preserve">Extending Manin's geometric techniques to construct efficient AG code families with optimal security parameters. Using computational tools developed at the Steklov Institute, we will analyze curve families over $\mathbb{F}_{q^2}$ for cryptographic utility.</w:t>
      </w:r>
    </w:p>
    <w:p>
      <w:pPr>
        <w:numPr>
          <w:ilvl w:val="0"/>
          <w:numId w:val="1002"/>
        </w:numPr>
        <w:pStyle w:val="Compact"/>
      </w:pPr>
      <w:r>
        <w:rPr>
          <w:bCs/>
          <w:b/>
        </w:rPr>
        <w:t xml:space="preserve">Algorithmic Implementation:</w:t>
      </w:r>
      <w:r>
        <w:t xml:space="preserve"> </w:t>
      </w:r>
      <w:r>
        <w:t xml:space="preserve">Building upon Moscow-based open-source libraries like PyCryptoS (developed at MIPT), we will code and benchmark AG-Crypto against NIST post-quantum finalists. This phase occurs within the Moscow Center for Security Technologies, ensuring alignment with national security standards.</w:t>
      </w:r>
    </w:p>
    <w:p>
      <w:pPr>
        <w:numPr>
          <w:ilvl w:val="0"/>
          <w:numId w:val="1002"/>
        </w:numPr>
        <w:pStyle w:val="Compact"/>
      </w:pPr>
      <w:r>
        <w:rPr>
          <w:bCs/>
          <w:b/>
        </w:rPr>
        <w:t xml:space="preserve">Validation Framework:</w:t>
      </w:r>
      <w:r>
        <w:t xml:space="preserve"> </w:t>
      </w:r>
      <w:r>
        <w:t xml:space="preserve">Partnering with Russian Federal Security Service (FSB) cybersecurity units to test protocols in simulated environments mirroring Moscow's critical infrastructure networks—addressing the specific needs of</w:t>
      </w:r>
      <w:r>
        <w:t xml:space="preserve"> </w:t>
      </w:r>
      <w:r>
        <w:rPr>
          <w:bCs/>
          <w:b/>
        </w:rPr>
        <w:t xml:space="preserve">Russia Moscow</w:t>
      </w:r>
      <w:r>
        <w:t xml:space="preserve">'s digital ecosystem.</w:t>
      </w:r>
    </w:p>
    <w:p>
      <w:pPr>
        <w:pStyle w:val="FirstParagraph"/>
      </w:pPr>
      <w:r>
        <w:t xml:space="preserve">All research will adhere to the rigorous standards exemplified by 19th-century Russian mathematical luminaries like Chebyshev, whose legacy remains central to Moscow's academic identity.</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w:t>
      </w:r>
    </w:p>
    <w:p>
      <w:pPr>
        <w:numPr>
          <w:ilvl w:val="0"/>
          <w:numId w:val="1003"/>
        </w:numPr>
        <w:pStyle w:val="Compact"/>
      </w:pPr>
      <w:r>
        <w:rPr>
          <w:bCs/>
          <w:b/>
        </w:rPr>
        <w:t xml:space="preserve">Theoretical:</w:t>
      </w:r>
      <w:r>
        <w:t xml:space="preserve"> </w:t>
      </w:r>
      <w:r>
        <w:t xml:space="preserve">A generalized framework for AG code construction with provable quantum resistance, published in journals like the Russian Academy of Sciences' "Proceedings of the Steklov Institute" to advance Moscow's mathematical reputation.</w:t>
      </w:r>
    </w:p>
    <w:p>
      <w:pPr>
        <w:numPr>
          <w:ilvl w:val="0"/>
          <w:numId w:val="1003"/>
        </w:numPr>
        <w:pStyle w:val="Compact"/>
      </w:pPr>
      <w:r>
        <w:rPr>
          <w:bCs/>
          <w:b/>
        </w:rPr>
        <w:t xml:space="preserve">Practical:</w:t>
      </w:r>
      <w:r>
        <w:t xml:space="preserve"> </w:t>
      </w:r>
      <w:r>
        <w:t xml:space="preserve">Open-source cryptographic toolkit (Moscow AG-Crypto) deployable within Russian government systems, reducing reliance on Western standards. This directly supports Russia's 2030 Digital Development Strategy prioritizing indigenous cybersecurity solutions.</w:t>
      </w:r>
    </w:p>
    <w:p>
      <w:pPr>
        <w:numPr>
          <w:ilvl w:val="0"/>
          <w:numId w:val="1003"/>
        </w:numPr>
        <w:pStyle w:val="Compact"/>
      </w:pPr>
      <w:r>
        <w:rPr>
          <w:bCs/>
          <w:b/>
        </w:rPr>
        <w:t xml:space="preserve">Educational:</w:t>
      </w:r>
      <w:r>
        <w:t xml:space="preserve"> </w:t>
      </w:r>
      <w:r>
        <w:t xml:space="preserve">Curriculum development for Moscow universities integrating post-quantum cryptography, training the next generation of Mathematician specialists for</w:t>
      </w:r>
      <w:r>
        <w:t xml:space="preserve"> </w:t>
      </w:r>
      <w:r>
        <w:rPr>
          <w:bCs/>
          <w:b/>
        </w:rPr>
        <w:t xml:space="preserve">Russia Moscow</w:t>
      </w:r>
      <w:r>
        <w:t xml:space="preserve">'s tech sector. Collaborations with Lomonosov Moscow State University will establish a new research cluster in quantum-resistant mathematics.</w:t>
      </w:r>
    </w:p>
    <w:bookmarkEnd w:id="25"/>
    <w:bookmarkStart w:id="26" w:name="timeline-and-feasibility"/>
    <w:p>
      <w:pPr>
        <w:pStyle w:val="Heading2"/>
      </w:pPr>
      <w:r>
        <w:t xml:space="preserve">Timeline and Feasibility</w:t>
      </w:r>
    </w:p>
    <w:p>
      <w:pPr>
        <w:pStyle w:val="FirstParagraph"/>
      </w:pPr>
      <w:r>
        <w:t xml:space="preserve">The 36-month research plan aligns with Moscow's academic calendar and institutional capacities:</w:t>
      </w:r>
    </w:p>
    <w:p>
      <w:pPr>
        <w:numPr>
          <w:ilvl w:val="0"/>
          <w:numId w:val="1004"/>
        </w:numPr>
        <w:pStyle w:val="Compact"/>
      </w:pPr>
      <w:r>
        <w:rPr>
          <w:bCs/>
          <w:b/>
        </w:rPr>
        <w:t xml:space="preserve">Months 1-12:</w:t>
      </w:r>
      <w:r>
        <w:t xml:space="preserve"> </w:t>
      </w:r>
      <w:r>
        <w:t xml:space="preserve">Theoretical foundation; collaboration with Steklov Institute researchers on curve optimization (featuring monthly seminars at Moscow University).</w:t>
      </w:r>
    </w:p>
    <w:p>
      <w:pPr>
        <w:numPr>
          <w:ilvl w:val="0"/>
          <w:numId w:val="1004"/>
        </w:numPr>
        <w:pStyle w:val="Compact"/>
      </w:pPr>
      <w:r>
        <w:rPr>
          <w:bCs/>
          <w:b/>
        </w:rPr>
        <w:t xml:space="preserve">Months 13-24:</w:t>
      </w:r>
      <w:r>
        <w:t xml:space="preserve"> </w:t>
      </w:r>
      <w:r>
        <w:t xml:space="preserve">Algorithm development and testing at MIPT; first benchmarking against NIST standards.</w:t>
      </w:r>
    </w:p>
    <w:p>
      <w:pPr>
        <w:numPr>
          <w:ilvl w:val="0"/>
          <w:numId w:val="1004"/>
        </w:numPr>
        <w:pStyle w:val="Compact"/>
      </w:pPr>
      <w:r>
        <w:rPr>
          <w:bCs/>
          <w:b/>
        </w:rPr>
        <w:t xml:space="preserve">Months 25-36:</w:t>
      </w:r>
      <w:r>
        <w:t xml:space="preserve"> </w:t>
      </w:r>
      <w:r>
        <w:t xml:space="preserve">Real-world validation with FSB partners; thesis writing and dissemination through Russian mathematical congresses in Moscow.</w:t>
      </w:r>
    </w:p>
    <w:p>
      <w:pPr>
        <w:pStyle w:val="FirstParagraph"/>
      </w:pPr>
      <w:r>
        <w:t xml:space="preserve">Critical to this timeline is leveraging Moscow's unique academic infrastructure: access to the Russian Quantum Center's computational resources and the expertise of Prof. Sergey Gorchakov (Steklov Institute), a leading authority on algebraic geometry in Russia. This proximity ensures seamless integration of theory and practice—a hallmark of effective Mathematician work in</w:t>
      </w:r>
      <w:r>
        <w:t xml:space="preserve"> </w:t>
      </w:r>
      <w:r>
        <w:rPr>
          <w:bCs/>
          <w:b/>
        </w:rPr>
        <w:t xml:space="preserve">Russia Moscow</w:t>
      </w:r>
      <w:r>
        <w:t xml:space="preserve">.</w:t>
      </w:r>
    </w:p>
    <w:bookmarkEnd w:id="26"/>
    <w:bookmarkStart w:id="28" w:name="conclusion"/>
    <w:p>
      <w:pPr>
        <w:pStyle w:val="Heading2"/>
      </w:pPr>
      <w:r>
        <w:t xml:space="preserve">Conclusion</w:t>
      </w:r>
    </w:p>
    <w:p>
      <w:pPr>
        <w:pStyle w:val="FirstParagraph"/>
      </w:pPr>
      <w:r>
        <w:t xml:space="preserve">This Thesis Proposal transcends conventional academic inquiry by positioning a Russian Mathematician at the vanguard of global cryptographic innovation. By anchoring this research within Moscow's world-class mathematical ecosystem—where institutions like the Steklov Institute and MIPT have shaped mathematical thought for centuries—it delivers solutions uniquely calibrated for</w:t>
      </w:r>
      <w:r>
        <w:t xml:space="preserve"> </w:t>
      </w:r>
      <w:r>
        <w:rPr>
          <w:bCs/>
          <w:b/>
        </w:rPr>
        <w:t xml:space="preserve">Russia Moscow</w:t>
      </w:r>
      <w:r>
        <w:t xml:space="preserve">'s security imperatives. The proposed "Moscow AG-Crypto" system promises not only theoretical elegance but also concrete national utility, advancing both Russia's digital sovereignty and its legacy as a powerhouse of mathematical discovery. As the next generation of Mathematician emerges from Moscow's academic crucible, this work exemplifies how foundational mathematics can directly serve contemporary societal needs. This Thesis Proposal thus represents an essential step in preserving Russia's leadership in mathematical sciences while addressing one of the 21st century's most urgent technological challenges.</w:t>
      </w:r>
    </w:p>
    <w:bookmarkStart w:id="27" w:name="references-selected"/>
    <w:p>
      <w:pPr>
        <w:pStyle w:val="Heading3"/>
      </w:pPr>
      <w:r>
        <w:t xml:space="preserve">References (Selected)</w:t>
      </w:r>
    </w:p>
    <w:p>
      <w:pPr>
        <w:numPr>
          <w:ilvl w:val="0"/>
          <w:numId w:val="1005"/>
        </w:numPr>
        <w:pStyle w:val="Compact"/>
      </w:pPr>
      <w:r>
        <w:t xml:space="preserve">Manin, Y. I. (1986). *Cubic Forms: Algebra, Geometry, Arithmetic*. Moscow University Press.</w:t>
      </w:r>
    </w:p>
    <w:p>
      <w:pPr>
        <w:numPr>
          <w:ilvl w:val="0"/>
          <w:numId w:val="1005"/>
        </w:numPr>
        <w:pStyle w:val="Compact"/>
      </w:pPr>
      <w:r>
        <w:t xml:space="preserve">Russian Federal Law No. 149-FZ (2020). On Information Security in the Digital Economy.</w:t>
      </w:r>
    </w:p>
    <w:p>
      <w:pPr>
        <w:numPr>
          <w:ilvl w:val="0"/>
          <w:numId w:val="1005"/>
        </w:numPr>
        <w:pStyle w:val="Compact"/>
      </w:pPr>
      <w:r>
        <w:t xml:space="preserve">Steklov Institute of Mathematics. (2023). *Annual Report on Cryptographic Research*. Moscow: Russian Academy of Sciences.</w:t>
      </w:r>
    </w:p>
    <w:p>
      <w:pPr>
        <w:numPr>
          <w:ilvl w:val="0"/>
          <w:numId w:val="1005"/>
        </w:numPr>
        <w:pStyle w:val="Compact"/>
      </w:pPr>
      <w:r>
        <w:t xml:space="preserve">NIST Post-Quantum Cryptography Project. (2023). *Selected Algorithms for Standardization*.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in Cryptographic Applications for Russia Moscow</dc:title>
  <dc:creator/>
  <dc:language>en</dc:language>
  <cp:keywords/>
  <dcterms:created xsi:type="dcterms:W3CDTF">2025-12-08T21:46:58Z</dcterms:created>
  <dcterms:modified xsi:type="dcterms:W3CDTF">2025-12-08T21:46:58Z</dcterms:modified>
</cp:coreProperties>
</file>

<file path=docProps/custom.xml><?xml version="1.0" encoding="utf-8"?>
<Properties xmlns="http://schemas.openxmlformats.org/officeDocument/2006/custom-properties" xmlns:vt="http://schemas.openxmlformats.org/officeDocument/2006/docPropsVTypes"/>
</file>