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39a6fa5a503032a1da1bad898961afe182a8390"/>
    <w:p>
      <w:pPr>
        <w:pStyle w:val="Heading1"/>
      </w:pPr>
      <w:r>
        <w:t xml:space="preserve">Thesis Proposal: Cultivating the Next Generation of Mathematicians in Saudi Arabia Jeddah through Strategic Educational Innovation</w:t>
      </w:r>
    </w:p>
    <w:bookmarkStart w:id="20" w:name="introduction-and-background-context"/>
    <w:p>
      <w:pPr>
        <w:pStyle w:val="Heading2"/>
      </w:pPr>
      <w:r>
        <w:t xml:space="preserve">1. Introduction and Background Context</w:t>
      </w:r>
    </w:p>
    <w:p>
      <w:pPr>
        <w:pStyle w:val="FirstParagraph"/>
      </w:pPr>
      <w:r>
        <w:t xml:space="preserve">The Kingdom of Saudi Arabia's Vision 2030 initiative places unprecedented emphasis on transforming the nation into a global hub for knowledge-based innovation, with mathematics serving as the foundational pillar of this transformation. Jeddah, as a vibrant coastal metropolis and economic gateway to the Kingdom, hosts several premier educational institutions including King Abdulaziz University (KAU) and Taibah University, where mathematical education plays a critical role in developing STEM talent. This Thesis Proposal outlines a research project dedicated to examining the evolving role of</w:t>
      </w:r>
      <w:r>
        <w:t xml:space="preserve"> </w:t>
      </w:r>
      <w:r>
        <w:rPr>
          <w:iCs/>
          <w:i/>
        </w:rPr>
        <w:t xml:space="preserve">Mathematician</w:t>
      </w:r>
      <w:r>
        <w:t xml:space="preserve"> </w:t>
      </w:r>
      <w:r>
        <w:t xml:space="preserve">professionals within Jeddah's academic ecosystem and proposing actionable strategies to elevate their contributions to national development goals. As Saudi Arabia accelerates its digital transformation and diversification from oil dependency, the strategic cultivation of mathematical expertise in Jeddah emerges as both a necessity and an opportunity for sustainable growth.</w:t>
      </w:r>
    </w:p>
    <w:bookmarkEnd w:id="20"/>
    <w:bookmarkStart w:id="21" w:name="problem-statement"/>
    <w:p>
      <w:pPr>
        <w:pStyle w:val="Heading2"/>
      </w:pPr>
      <w:r>
        <w:t xml:space="preserve">2. Problem Statement</w:t>
      </w:r>
    </w:p>
    <w:p>
      <w:pPr>
        <w:pStyle w:val="FirstParagraph"/>
      </w:pPr>
      <w:r>
        <w:t xml:space="preserve">Despite significant investment in higher education infrastructure across</w:t>
      </w:r>
      <w:r>
        <w:t xml:space="preserve"> </w:t>
      </w:r>
      <w:r>
        <w:rPr>
          <w:bCs/>
          <w:b/>
        </w:rPr>
        <w:t xml:space="preserve">Saudi Arabia Jeddah</w:t>
      </w:r>
      <w:r>
        <w:t xml:space="preserve">, critical gaps persist in the development and support systems for mathematicians. Current educational frameworks often fail to align with emerging industry demands, particularly in data science, artificial intelligence, and computational modeling – sectors central to Vision 2030. Surveys from the Ministry of Education (2023) indicate that only 38% of mathematics graduates in Jeddah demonstrate advanced analytical skills required for cutting-edge innovation roles. Furthermore, mathematicians face institutional challenges including limited research funding, insufficient industry-academia collaboration mechanisms, and curricula lagging behind global advancements. This proposal addresses these gaps by investigating how to strategically position</w:t>
      </w:r>
      <w:r>
        <w:t xml:space="preserve"> </w:t>
      </w:r>
      <w:r>
        <w:rPr>
          <w:iCs/>
          <w:i/>
        </w:rPr>
        <w:t xml:space="preserve">Mathematician</w:t>
      </w:r>
      <w:r>
        <w:t xml:space="preserve"> </w:t>
      </w:r>
      <w:r>
        <w:t xml:space="preserve">professionals as catalysts for economic diversification within the unique socio-cultural context of Jeddah.</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w:t>
      </w:r>
    </w:p>
    <w:p>
      <w:pPr>
        <w:numPr>
          <w:ilvl w:val="0"/>
          <w:numId w:val="1001"/>
        </w:numPr>
        <w:pStyle w:val="Compact"/>
      </w:pPr>
      <w:r>
        <w:rPr>
          <w:bCs/>
          <w:b/>
        </w:rPr>
        <w:t xml:space="preserve">Assessment Phase:</w:t>
      </w:r>
      <w:r>
        <w:t xml:space="preserve"> </w:t>
      </w:r>
      <w:r>
        <w:t xml:space="preserve">Systematically evaluate the current landscape of mathematical education, research output, and professional development opportunities for mathematicians across key universities in Jeddah.</w:t>
      </w:r>
    </w:p>
    <w:p>
      <w:pPr>
        <w:numPr>
          <w:ilvl w:val="0"/>
          <w:numId w:val="1001"/>
        </w:numPr>
        <w:pStyle w:val="Compact"/>
      </w:pPr>
      <w:r>
        <w:rPr>
          <w:bCs/>
          <w:b/>
        </w:rPr>
        <w:t xml:space="preserve">Stakeholder Analysis:</w:t>
      </w:r>
      <w:r>
        <w:t xml:space="preserve"> </w:t>
      </w:r>
      <w:r>
        <w:t xml:space="preserve">Identify specific barriers faced by mathematics faculty through structured interviews with 50+ educators, university administrators, and industry partners (e.g., NEOM AI projects, Saudi Aramco R&amp;D).</w:t>
      </w:r>
    </w:p>
    <w:p>
      <w:pPr>
        <w:numPr>
          <w:ilvl w:val="0"/>
          <w:numId w:val="1001"/>
        </w:numPr>
        <w:pStyle w:val="Compact"/>
      </w:pPr>
      <w:r>
        <w:rPr>
          <w:bCs/>
          <w:b/>
        </w:rPr>
        <w:t xml:space="preserve">Framework Development:</w:t>
      </w:r>
      <w:r>
        <w:t xml:space="preserve"> </w:t>
      </w:r>
      <w:r>
        <w:t xml:space="preserve">Propose a culturally responsive model to enhance mathematician effectiveness, including curriculum modernization, research infrastructure enhancements, and industry partnership frameworks tailored for</w:t>
      </w:r>
      <w:r>
        <w:t xml:space="preserve"> </w:t>
      </w:r>
      <w:r>
        <w:rPr>
          <w:bCs/>
          <w:b/>
        </w:rPr>
        <w:t xml:space="preserve">Saudi Arabia Jeddah</w:t>
      </w:r>
      <w:r>
        <w:t xml:space="preserve">.</w:t>
      </w:r>
    </w:p>
    <w:bookmarkEnd w:id="22"/>
    <w:bookmarkStart w:id="23" w:name="X5aee6fa093360aa4566f923b30617d5a73b98e2"/>
    <w:p>
      <w:pPr>
        <w:pStyle w:val="Heading2"/>
      </w:pPr>
      <w:r>
        <w:t xml:space="preserve">4. Literature Review (Critical Gaps Identified)</w:t>
      </w:r>
    </w:p>
    <w:p>
      <w:pPr>
        <w:pStyle w:val="FirstParagraph"/>
      </w:pPr>
      <w:r>
        <w:t xml:space="preserve">Existing studies on mathematics education in the Gulf region (e.g., Al-Mutairi, 2021) predominantly focus on K-12 systems with minimal attention to higher education and professional development for mathematicians. Research by the Saudi Ministry of Education (2022) highlights insufficient metrics for tracking mathematician career progression, while international comparative studies (OECD, 2023) reveal that Jeddah lags behind Dubai and Riyadh in STEM research productivity per capita. Crucially, no existing scholarship addresses how</w:t>
      </w:r>
      <w:r>
        <w:t xml:space="preserve"> </w:t>
      </w:r>
      <w:r>
        <w:rPr>
          <w:iCs/>
          <w:i/>
        </w:rPr>
        <w:t xml:space="preserve">Mathematician</w:t>
      </w:r>
      <w:r>
        <w:t xml:space="preserve"> </w:t>
      </w:r>
      <w:r>
        <w:t xml:space="preserve">roles can be strategically repositioned within Saudi Arabia's cultural context to drive Vision 2030 objectives – a gap this thesis directly targets.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Quantitative Analysis:</w:t>
      </w:r>
      <w:r>
        <w:t xml:space="preserve"> </w:t>
      </w:r>
      <w:r>
        <w:t xml:space="preserve">Survey of 300 mathematics faculty across Jeddah's universities to measure resource allocation, research output, and skill development needs (using Likert-scale instruments adapted for Saudi academic culture).</w:t>
      </w:r>
    </w:p>
    <w:p>
      <w:pPr>
        <w:numPr>
          <w:ilvl w:val="0"/>
          <w:numId w:val="1002"/>
        </w:numPr>
        <w:pStyle w:val="Compact"/>
      </w:pPr>
      <w:r>
        <w:rPr>
          <w:bCs/>
          <w:b/>
        </w:rPr>
        <w:t xml:space="preserve">Qualitative Exploration:</w:t>
      </w:r>
      <w:r>
        <w:t xml:space="preserve"> </w:t>
      </w:r>
      <w:r>
        <w:t xml:space="preserve">In-depth interviews with 25 key stakeholders including university deans, Ministry of Education representatives, and industry leaders from Jeddah's tech clusters to uncover contextual barriers.</w:t>
      </w:r>
    </w:p>
    <w:p>
      <w:pPr>
        <w:numPr>
          <w:ilvl w:val="0"/>
          <w:numId w:val="1002"/>
        </w:numPr>
        <w:pStyle w:val="Compact"/>
      </w:pPr>
      <w:r>
        <w:rPr>
          <w:bCs/>
          <w:b/>
        </w:rPr>
        <w:t xml:space="preserve">Actionable Framework Development:</w:t>
      </w:r>
      <w:r>
        <w:t xml:space="preserve"> </w:t>
      </w:r>
      <w:r>
        <w:t xml:space="preserve">Co-creation workshops with mathematicians from KAU and Taibah University to design the proposed model, incorporating Saudi cultural values (e.g., mentorship traditions) and Vision 2030 priorities.</w:t>
      </w:r>
    </w:p>
    <w:p>
      <w:pPr>
        <w:pStyle w:val="FirstParagraph"/>
      </w:pPr>
      <w:r>
        <w:t xml:space="preserve">The methodology prioritizes ethical engagement through approval from Jeddah's Institutional Review Board and collaboration with the Saudi Commission for Educational Certification to ensure cultural sensitivity.</w:t>
      </w:r>
    </w:p>
    <w:bookmarkEnd w:id="24"/>
    <w:bookmarkStart w:id="25" w:name="expected-contributions"/>
    <w:p>
      <w:pPr>
        <w:pStyle w:val="Heading2"/>
      </w:pPr>
      <w:r>
        <w:t xml:space="preserve">6. Expected Contributions</w:t>
      </w:r>
    </w:p>
    <w:p>
      <w:pPr>
        <w:pStyle w:val="FirstParagraph"/>
      </w:pPr>
      <w:r>
        <w:t xml:space="preserve">This Thesis Proposal promises transformative impact across multiple dimensions:</w:t>
      </w:r>
    </w:p>
    <w:p>
      <w:pPr>
        <w:numPr>
          <w:ilvl w:val="0"/>
          <w:numId w:val="1003"/>
        </w:numPr>
        <w:pStyle w:val="Compact"/>
      </w:pPr>
      <w:r>
        <w:rPr>
          <w:bCs/>
          <w:b/>
        </w:rPr>
        <w:t xml:space="preserve">Academic:</w:t>
      </w:r>
      <w:r>
        <w:t xml:space="preserve"> </w:t>
      </w:r>
      <w:r>
        <w:t xml:space="preserve">First comprehensive study on mathematician professional development within Jeddah's higher education ecosystem, addressing a critical gap in regional scholarship.</w:t>
      </w:r>
    </w:p>
    <w:p>
      <w:pPr>
        <w:numPr>
          <w:ilvl w:val="0"/>
          <w:numId w:val="1003"/>
        </w:numPr>
        <w:pStyle w:val="Compact"/>
      </w:pPr>
      <w:r>
        <w:rPr>
          <w:bCs/>
          <w:b/>
        </w:rPr>
        <w:t xml:space="preserve">Pedagogical:</w:t>
      </w:r>
      <w:r>
        <w:t xml:space="preserve"> </w:t>
      </w:r>
      <w:r>
        <w:t xml:space="preserve">A revised mathematics curriculum framework integrating Saudi industrial case studies (e.g., Red Sea Project data analytics) to bridge theory-practice divides.</w:t>
      </w:r>
    </w:p>
    <w:p>
      <w:pPr>
        <w:numPr>
          <w:ilvl w:val="0"/>
          <w:numId w:val="1003"/>
        </w:numPr>
        <w:pStyle w:val="Compact"/>
      </w:pPr>
      <w:r>
        <w:rPr>
          <w:bCs/>
          <w:b/>
        </w:rPr>
        <w:t xml:space="preserve">Policy-Driven:</w:t>
      </w:r>
      <w:r>
        <w:t xml:space="preserve"> </w:t>
      </w:r>
      <w:r>
        <w:t xml:space="preserve">Evidence-based recommendations for the Ministry of Education on restructuring mathematician career pathways and funding models specifically applicable to</w:t>
      </w:r>
      <w:r>
        <w:t xml:space="preserve"> </w:t>
      </w:r>
      <w:r>
        <w:rPr>
          <w:bCs/>
          <w:b/>
        </w:rPr>
        <w:t xml:space="preserve">Saudi Arabia Jeddah</w:t>
      </w:r>
      <w:r>
        <w:t xml:space="preserve">.</w:t>
      </w:r>
    </w:p>
    <w:p>
      <w:pPr>
        <w:numPr>
          <w:ilvl w:val="0"/>
          <w:numId w:val="1003"/>
        </w:numPr>
        <w:pStyle w:val="Compact"/>
      </w:pPr>
      <w:r>
        <w:rPr>
          <w:bCs/>
          <w:b/>
        </w:rPr>
        <w:t xml:space="preserve">Economic:</w:t>
      </w:r>
      <w:r>
        <w:t xml:space="preserve"> </w:t>
      </w:r>
      <w:r>
        <w:t xml:space="preserve">A replicable model for industry-academia collaboration that directly supports Vision 2030's goal of generating 1.5 million new private-sector jobs in STEM by 2030.</w:t>
      </w:r>
    </w:p>
    <w:bookmarkEnd w:id="25"/>
    <w:bookmarkStart w:id="26" w:name="significance-for-saudi-arabia-jeddah"/>
    <w:p>
      <w:pPr>
        <w:pStyle w:val="Heading2"/>
      </w:pPr>
      <w:r>
        <w:t xml:space="preserve">7. Significance for Saudi Arabia Jeddah</w:t>
      </w:r>
    </w:p>
    <w:p>
      <w:pPr>
        <w:pStyle w:val="FirstParagraph"/>
      </w:pPr>
      <w:r>
        <w:t xml:space="preserve">Jeddah's strategic position as the Kingdom’s second-largest city and commercial hub makes it an ideal laboratory for this research. The proposal directly advances Vision 2030 pillars through:</w:t>
      </w:r>
    </w:p>
    <w:p>
      <w:pPr>
        <w:numPr>
          <w:ilvl w:val="0"/>
          <w:numId w:val="1004"/>
        </w:numPr>
        <w:pStyle w:val="Compact"/>
      </w:pPr>
      <w:r>
        <w:rPr>
          <w:bCs/>
          <w:b/>
        </w:rPr>
        <w:t xml:space="preserve">Human Capital Development:</w:t>
      </w:r>
      <w:r>
        <w:t xml:space="preserve"> </w:t>
      </w:r>
      <w:r>
        <w:t xml:space="preserve">Equipping Jeddah's mathematicians with industry-relevant competencies to meet the Kingdom’s target of 45% STEM workforce participation.</w:t>
      </w:r>
    </w:p>
    <w:p>
      <w:pPr>
        <w:numPr>
          <w:ilvl w:val="0"/>
          <w:numId w:val="1004"/>
        </w:numPr>
        <w:pStyle w:val="Compact"/>
      </w:pPr>
      <w:r>
        <w:rPr>
          <w:bCs/>
          <w:b/>
        </w:rPr>
        <w:t xml:space="preserve">Regional Leadership:</w:t>
      </w:r>
      <w:r>
        <w:t xml:space="preserve"> </w:t>
      </w:r>
      <w:r>
        <w:t xml:space="preserve">Positioning Jeddah as a benchmark for mathematical innovation in the Middle East, attracting international research partnerships and talent.</w:t>
      </w:r>
    </w:p>
    <w:p>
      <w:pPr>
        <w:numPr>
          <w:ilvl w:val="0"/>
          <w:numId w:val="1004"/>
        </w:numPr>
        <w:pStyle w:val="Compact"/>
      </w:pPr>
      <w:r>
        <w:rPr>
          <w:bCs/>
          <w:b/>
        </w:rPr>
        <w:t xml:space="preserve">Cultural Relevance:</w:t>
      </w:r>
      <w:r>
        <w:t xml:space="preserve"> </w:t>
      </w:r>
      <w:r>
        <w:t xml:space="preserve">Ensuring solutions respect Saudi societal values while embracing global mathematical excellence – avoiding one-size-fits-all Western models.</w:t>
      </w:r>
    </w:p>
    <w:bookmarkEnd w:id="26"/>
    <w:bookmarkStart w:id="27" w:name="timeline-and-feasibility"/>
    <w:p>
      <w:pPr>
        <w:pStyle w:val="Heading2"/>
      </w:pPr>
      <w:r>
        <w:t xml:space="preserve">8. Timeline and Feasibility</w:t>
      </w:r>
    </w:p>
    <w:p>
      <w:pPr>
        <w:pStyle w:val="FirstParagraph"/>
      </w:pPr>
      <w:r>
        <w:t xml:space="preserve">The research will be conducted over 18 months within Jeddah's academic environment, leveraging existing institutional partnerships: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Cultural adaptation of instruments; IRB clearance with Jeddah institutions.</w:t>
      </w:r>
    </w:p>
    <w:p>
      <w:pPr>
        <w:pStyle w:val="BodyText"/>
      </w:pPr>
      <w:r>
        <w:t xml:space="preserve">Data Collection (Surveys + Interviews)</w:t>
      </w:r>
    </w:p>
    <w:p>
      <w:pPr>
        <w:pStyle w:val="BodyText"/>
      </w:pPr>
      <w:r>
        <w:t xml:space="preserve">Months 3-8</w:t>
      </w:r>
    </w:p>
    <w:p>
      <w:pPr>
        <w:pStyle w:val="BodyText"/>
      </w:pPr>
      <w:r>
        <w:t xml:space="preserve">Fieldwork across KAU, Taibah, and industry partners in Jeddah.</w:t>
      </w:r>
    </w:p>
    <w:p>
      <w:pPr>
        <w:pStyle w:val="BodyText"/>
      </w:pPr>
      <w:r>
        <w:t xml:space="preserve">Framework Design &amp; Validation</w:t>
      </w:r>
    </w:p>
    <w:p>
      <w:pPr>
        <w:pStyle w:val="BodyText"/>
      </w:pPr>
      <w:r>
        <w:rPr>
          <w:bCs/>
          <w:b/>
        </w:rPr>
        <w:t xml:space="preserve">Months 9-15</w:t>
      </w:r>
    </w:p>
    <w:p>
      <w:pPr>
        <w:pStyle w:val="BodyText"/>
      </w:pPr>
      <w:r>
        <w:t xml:space="preserve">Cross-institutional workshops; stakeholder feedback loops.</w:t>
      </w:r>
    </w:p>
    <w:p>
      <w:pPr>
        <w:pStyle w:val="BodyText"/>
      </w:pPr>
      <w:r>
        <w:t xml:space="preserve">Thesis Finalization &amp; Policy Submission</w:t>
      </w:r>
    </w:p>
    <w:p>
      <w:pPr>
        <w:pStyle w:val="BodyText"/>
      </w:pPr>
      <w:r>
        <w:t xml:space="preserve">Months 16-18</w:t>
      </w:r>
    </w:p>
    <w:p>
      <w:pPr>
        <w:pStyle w:val="BodyText"/>
      </w:pPr>
      <w:r>
        <w:t xml:space="preserve">Drafting proposal; presentation to Ministry of Education and Jeddah Chamber of Commerce.</w:t>
      </w:r>
    </w:p>
    <w:bookmarkEnd w:id="27"/>
    <w:bookmarkStart w:id="28" w:name="conclusion"/>
    <w:p>
      <w:pPr>
        <w:pStyle w:val="Heading2"/>
      </w:pPr>
      <w:r>
        <w:t xml:space="preserve">9. Conclusion</w:t>
      </w:r>
    </w:p>
    <w:p>
      <w:pPr>
        <w:pStyle w:val="FirstParagraph"/>
      </w:pPr>
      <w:r>
        <w:t xml:space="preserve">This Thesis Proposal presents a timely and strategically vital investigation into the role of the</w:t>
      </w:r>
      <w:r>
        <w:t xml:space="preserve"> </w:t>
      </w:r>
      <w:r>
        <w:rPr>
          <w:iCs/>
          <w:i/>
        </w:rPr>
        <w:t xml:space="preserve">Mathematician</w:t>
      </w:r>
      <w:r>
        <w:t xml:space="preserve"> </w:t>
      </w:r>
      <w:r>
        <w:t xml:space="preserve">in Saudi Arabia's transformation journey, with Jeddah serving as its critical operational context. By centering on practical solutions for institutionalizing mathematical excellence within Saudi Arabia Jeddah, this research directly supports Vision 2030's vision of a knowledge-driven economy. The proposed framework promises to move beyond abstract academic inquiry toward tangible outcomes: enabling mathematicians in Jeddah to become architects of innovation rather than passive participants in education systems. As King Abdullah University of Science and Technology (KAUST) demonstrates, Saudi Arabia has the ambition to lead in mathematical science – this thesis will provide the roadmap for scaling that success from coastal hubs like Jeddah into the national fabric. The success of this research would establish a replicable model for other STEM disciplines while firmly anchoring Saudi Arabia's place at the forefront of 21st-century mathematics.</w:t>
      </w:r>
    </w:p>
    <w:p>
      <w:pPr>
        <w:pStyle w:val="BodyText"/>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Saudi Arabia Jeddah</dc:title>
  <dc:creator/>
  <dc:language>en</dc:language>
  <cp:keywords/>
  <dcterms:created xsi:type="dcterms:W3CDTF">2026-07-17T11:05:06Z</dcterms:created>
  <dcterms:modified xsi:type="dcterms:W3CDTF">2026-07-17T11:05:06Z</dcterms:modified>
</cp:coreProperties>
</file>

<file path=docProps/custom.xml><?xml version="1.0" encoding="utf-8"?>
<Properties xmlns="http://schemas.openxmlformats.org/officeDocument/2006/custom-properties" xmlns:vt="http://schemas.openxmlformats.org/officeDocument/2006/docPropsVTypes"/>
</file>