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Saudi</w:t>
      </w:r>
      <w:r>
        <w:t xml:space="preserve"> </w:t>
      </w:r>
      <w:r>
        <w:t xml:space="preserve">Arabia</w:t>
      </w:r>
      <w:r>
        <w:t xml:space="preserve"> </w:t>
      </w:r>
      <w:r>
        <w:t xml:space="preserve">Riyadh</w:t>
      </w:r>
    </w:p>
    <w:bookmarkStart w:id="29" w:name="Xd6ba156998b2969781d94daf72012b2a339ba4b"/>
    <w:p>
      <w:pPr>
        <w:pStyle w:val="Heading1"/>
      </w:pPr>
      <w:r>
        <w:t xml:space="preserve">Thesis Proposal: The Pivotal Role of a Mathematician in Driving Technological and Educational Transformation in Saudi Arabia Riyadh</w:t>
      </w:r>
    </w:p>
    <w:bookmarkStart w:id="20" w:name="introduction-and-contextual-background"/>
    <w:p>
      <w:pPr>
        <w:pStyle w:val="Heading2"/>
      </w:pPr>
      <w:r>
        <w:t xml:space="preserve">1. Introduction and Contextual Background</w:t>
      </w:r>
    </w:p>
    <w:p>
      <w:pPr>
        <w:pStyle w:val="FirstParagraph"/>
      </w:pPr>
      <w:r>
        <w:t xml:space="preserve">The Kingdom of Saudi Arabia, through its transformative Vision 2030 initiative, is prioritizing knowledge-based economic development with Riyadh positioned as the epicenter of this revolution. This Thesis Proposal examines the indispensable role of a Mathematician in accelerating innovation across critical sectors including artificial intelligence, smart city infrastructure, and advanced education systems within Saudi Arabia Riyadh. As the capital city evolves into a global hub for technology and sustainability, the strategic contributions of mathematical expertise have become paramount. This research addresses an urgent gap: while Saudi Arabia invests heavily in STEM education and digital transformation, there remains insufficient scholarly focus on how a Mathematician can uniquely catalyze these initiatives through interdisciplinary collaboration. The proposed Thesis Proposal argues that embedding mathematicians as central figures in Riyadh's development framework will directly advance national goals of economic diversification and human capital empowerment.</w:t>
      </w:r>
    </w:p>
    <w:bookmarkEnd w:id="20"/>
    <w:bookmarkStart w:id="21" w:name="problem-statement"/>
    <w:p>
      <w:pPr>
        <w:pStyle w:val="Heading2"/>
      </w:pPr>
      <w:r>
        <w:t xml:space="preserve">2. Problem Statement</w:t>
      </w:r>
    </w:p>
    <w:p>
      <w:pPr>
        <w:pStyle w:val="FirstParagraph"/>
      </w:pPr>
      <w:r>
        <w:t xml:space="preserve">Riyadh’s rapid urbanization and technological ambitions face complex challenges requiring sophisticated analytical frameworks—ranging from optimizing smart traffic systems to modeling sustainable energy grids. Current approaches often lack deep mathematical rigor, resulting in suboptimal solutions that fail to scale or integrate with emerging technologies like quantum computing and predictive analytics. Crucially, while Saudi Arabia has increased STEM enrollment by 45% since 2016 (World Bank, 2023), there is a disconnect between theoretical mathematics education and practical application within Riyadh’s innovation ecosystem. This Thesis Proposal identifies the underutilization of Mathematicians as strategic assets in national development projects as a critical barrier to achieving Vision 2030 milestones. Without a dedicated framework for mathematicians to contribute to policy design and implementation, Riyadh risks inefficiencies that undermine its technological sovereignty.</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analyze the specific contributions of a Mathematician in solving Riyadh’s urban challenges (e.g., data-driven public service optimization, AI ethics frameworks).</w:t>
      </w:r>
    </w:p>
    <w:p>
      <w:pPr>
        <w:numPr>
          <w:ilvl w:val="0"/>
          <w:numId w:val="1001"/>
        </w:numPr>
        <w:pStyle w:val="Compact"/>
      </w:pPr>
      <w:r>
        <w:t xml:space="preserve">To develop a competency model defining the unique skills required for mathematicians to operate effectively within Saudi Arabia's socio-technological context.</w:t>
      </w:r>
    </w:p>
    <w:p>
      <w:pPr>
        <w:numPr>
          <w:ilvl w:val="0"/>
          <w:numId w:val="1001"/>
        </w:numPr>
        <w:pStyle w:val="Compact"/>
      </w:pPr>
      <w:r>
        <w:t xml:space="preserve">To propose institutional mechanisms for embedding Mathematicians into key government bodies like the Saudi Data and Artificial Intelligence Authority (SDAIA) and Riyadh Development Authority.</w:t>
      </w:r>
    </w:p>
    <w:p>
      <w:pPr>
        <w:numPr>
          <w:ilvl w:val="0"/>
          <w:numId w:val="1001"/>
        </w:numPr>
        <w:pStyle w:val="Compact"/>
      </w:pPr>
      <w:r>
        <w:t xml:space="preserve">To create a blueprint for integrating mathematicians into Saudi Arabia's educational pipeline, ensuring future professionals align with national innovation demands.</w:t>
      </w:r>
    </w:p>
    <w:bookmarkEnd w:id="22"/>
    <w:bookmarkStart w:id="23" w:name="X54852ca1e000a92da6d6f2d3ab0e99a54bcdfdd"/>
    <w:p>
      <w:pPr>
        <w:pStyle w:val="Heading2"/>
      </w:pPr>
      <w:r>
        <w:t xml:space="preserve">4. Literature Review and Theoretical Foundation</w:t>
      </w:r>
    </w:p>
    <w:p>
      <w:pPr>
        <w:pStyle w:val="FirstParagraph"/>
      </w:pPr>
      <w:r>
        <w:t xml:space="preserve">Existing scholarship on mathematical contributions in urban contexts (e.g., Gandy, 2018; Chen &amp; Wang, 2021) primarily focuses on Western cities. This Thesis Proposal fills a critical gap by examining the Saudi Arabia Riyadh context through two lenses: (a) the unique socio-cultural dimensions of implementing mathematics in a conservative yet rapidly modernizing society, and (b) alignment with Vision 2030's "Knowledge Economy" pillar. The research builds on UNESCO’s framework for STEM integration but adapts it to Gulf-specific governance structures. Notably, studies by Al-Saleh (2022) confirm Riyadh’s universities produce strong mathematical talent but fail to connect graduates with industry needs—highlighting the need for this Thesis Proposal to bridge theory and practice.</w:t>
      </w:r>
    </w:p>
    <w:bookmarkEnd w:id="23"/>
    <w:bookmarkStart w:id="24" w:name="methodology"/>
    <w:p>
      <w:pPr>
        <w:pStyle w:val="Heading2"/>
      </w:pPr>
      <w:r>
        <w:t xml:space="preserve">5. Methodology</w:t>
      </w:r>
    </w:p>
    <w:p>
      <w:pPr>
        <w:pStyle w:val="FirstParagraph"/>
      </w:pPr>
      <w:r>
        <w:t xml:space="preserve">This interdisciplinary research employs a mixed-methods approach:</w:t>
      </w:r>
    </w:p>
    <w:p>
      <w:pPr>
        <w:numPr>
          <w:ilvl w:val="0"/>
          <w:numId w:val="1002"/>
        </w:numPr>
        <w:pStyle w:val="Compact"/>
      </w:pPr>
      <w:r>
        <w:rPr>
          <w:bCs/>
          <w:b/>
        </w:rPr>
        <w:t xml:space="preserve">Quantitative Analysis:</w:t>
      </w:r>
      <w:r>
        <w:t xml:space="preserve"> </w:t>
      </w:r>
      <w:r>
        <w:t xml:space="preserve">Survey of 150+ professionals across SDAIA, Riyadh Municipality, and universities to quantify current gaps in mathematical application.</w:t>
      </w:r>
    </w:p>
    <w:p>
      <w:pPr>
        <w:numPr>
          <w:ilvl w:val="0"/>
          <w:numId w:val="1002"/>
        </w:numPr>
        <w:pStyle w:val="Compact"/>
      </w:pPr>
      <w:r>
        <w:rPr>
          <w:bCs/>
          <w:b/>
        </w:rPr>
        <w:t xml:space="preserve">Case Studies:</w:t>
      </w:r>
      <w:r>
        <w:t xml:space="preserve"> </w:t>
      </w:r>
      <w:r>
        <w:t xml:space="preserve">Deep dives into three Riyadh projects (e.g., NEOM’s AI integration, Riyadh Metro data optimization) to document mathematician-led solutions.</w:t>
      </w:r>
    </w:p>
    <w:p>
      <w:pPr>
        <w:numPr>
          <w:ilvl w:val="0"/>
          <w:numId w:val="1002"/>
        </w:numPr>
        <w:pStyle w:val="Compact"/>
      </w:pPr>
      <w:r>
        <w:rPr>
          <w:bCs/>
          <w:b/>
        </w:rPr>
        <w:t xml:space="preserve">Action Research:</w:t>
      </w:r>
      <w:r>
        <w:t xml:space="preserve"> </w:t>
      </w:r>
      <w:r>
        <w:t xml:space="preserve">Co-creation workshops with Saudi Ministry of Education stakeholders to design the proposed competency model and institutional framework.</w:t>
      </w:r>
    </w:p>
    <w:p>
      <w:pPr>
        <w:pStyle w:val="FirstParagraph"/>
      </w:pPr>
      <w:r>
        <w:t xml:space="preserve">Data collection will occur in Riyadh from Q1–Q3 2024, ensuring alignment with local academic calendars. Ethical considerations include anonymizing stakeholder inputs per Saudi Data Law 2023 and securing approvals from King Abdulaziz City for Science and Technology (KACST).</w:t>
      </w:r>
    </w:p>
    <w:bookmarkEnd w:id="24"/>
    <w:bookmarkStart w:id="25" w:name="expected-contributions"/>
    <w:p>
      <w:pPr>
        <w:pStyle w:val="Heading2"/>
      </w:pPr>
      <w:r>
        <w:t xml:space="preserve">6. Expected Contributions</w:t>
      </w:r>
    </w:p>
    <w:p>
      <w:pPr>
        <w:pStyle w:val="FirstParagraph"/>
      </w:pPr>
      <w:r>
        <w:t xml:space="preserve">This Thesis Proposal will deliver transformative value to Saudi Arabia Riyadh by:</w:t>
      </w:r>
    </w:p>
    <w:p>
      <w:pPr>
        <w:numPr>
          <w:ilvl w:val="0"/>
          <w:numId w:val="1003"/>
        </w:numPr>
        <w:pStyle w:val="Compact"/>
      </w:pPr>
      <w:r>
        <w:rPr>
          <w:bCs/>
          <w:b/>
        </w:rPr>
        <w:t xml:space="preserve">Strategic Impact:</w:t>
      </w:r>
      <w:r>
        <w:t xml:space="preserve"> </w:t>
      </w:r>
      <w:r>
        <w:t xml:space="preserve">Providing a roadmap for embedding Mathematicians in decision-making bodies, directly supporting Vision 2030’s target of raising the private sector’s contribution to GDP from 40% to 65% by 2030.</w:t>
      </w:r>
    </w:p>
    <w:p>
      <w:pPr>
        <w:numPr>
          <w:ilvl w:val="0"/>
          <w:numId w:val="1003"/>
        </w:numPr>
        <w:pStyle w:val="Compact"/>
      </w:pPr>
      <w:r>
        <w:rPr>
          <w:bCs/>
          <w:b/>
        </w:rPr>
        <w:t xml:space="preserve">Educational Reform:</w:t>
      </w:r>
      <w:r>
        <w:t xml:space="preserve"> </w:t>
      </w:r>
      <w:r>
        <w:t xml:space="preserve">Proposing curricula revisions for Riyadh universities that integrate real-world problem-solving with Saudi cultural contexts, ensuring graduates meet national innovation demands.</w:t>
      </w:r>
    </w:p>
    <w:p>
      <w:pPr>
        <w:numPr>
          <w:ilvl w:val="0"/>
          <w:numId w:val="1003"/>
        </w:numPr>
        <w:pStyle w:val="Compact"/>
      </w:pPr>
      <w:r>
        <w:rPr>
          <w:bCs/>
          <w:b/>
        </w:rPr>
        <w:t xml:space="preserve">Global Relevance:</w:t>
      </w:r>
      <w:r>
        <w:t xml:space="preserve"> </w:t>
      </w:r>
      <w:r>
        <w:t xml:space="preserve">Establishing a replicable model for Muslim-majority cities pursuing digital transformation while preserving societal values.</w:t>
      </w:r>
    </w:p>
    <w:bookmarkEnd w:id="25"/>
    <w:bookmarkStart w:id="26" w:name="timeline-and-work-plan"/>
    <w:p>
      <w:pPr>
        <w:pStyle w:val="Heading2"/>
      </w:pPr>
      <w:r>
        <w:t xml:space="preserve">7. Timeline and Work Plan</w:t>
      </w:r>
    </w:p>
    <w:p>
      <w:pPr>
        <w:pStyle w:val="FirstParagraph"/>
      </w:pPr>
      <w:r>
        <w:t xml:space="preserve">The research will be completed within 18 months (January 2024–June 2025):</w:t>
      </w:r>
    </w:p>
    <w:p>
      <w:pPr>
        <w:pStyle w:val="BodyText"/>
      </w:pPr>
      <w:r>
        <w:t xml:space="preserve">Phase</w:t>
      </w:r>
    </w:p>
    <w:p>
      <w:pPr>
        <w:pStyle w:val="BodyText"/>
      </w:pPr>
      <w:r>
        <w:t xml:space="preserve">Timeline</w:t>
      </w:r>
    </w:p>
    <w:p>
      <w:pPr>
        <w:pStyle w:val="BodyText"/>
      </w:pPr>
      <w:r>
        <w:t xml:space="preserve">Deliverables</w:t>
      </w:r>
    </w:p>
    <w:p>
      <w:pPr>
        <w:pStyle w:val="BodyText"/>
      </w:pPr>
      <w:r>
        <w:t xml:space="preserve">Literature Review &amp; Stakeholder Mapping</w:t>
      </w:r>
    </w:p>
    <w:p>
      <w:pPr>
        <w:pStyle w:val="BodyText"/>
      </w:pPr>
      <w:r>
        <w:t xml:space="preserve">Jan–Mar 2024</w:t>
      </w:r>
    </w:p>
    <w:p>
      <w:pPr>
        <w:pStyle w:val="BodyText"/>
      </w:pPr>
      <w:r>
        <w:t xml:space="preserve">Draft Competency Model; Initial Survey Instrument</w:t>
      </w:r>
    </w:p>
    <w:p>
      <w:pPr>
        <w:pStyle w:val="BodyText"/>
      </w:pPr>
      <w:r>
        <w:t xml:space="preserve">Data Collection: Surveys &amp; Case Studies</w:t>
      </w:r>
    </w:p>
    <w:p>
      <w:pPr>
        <w:pStyle w:val="BodyText"/>
      </w:pPr>
      <w:r>
        <w:t xml:space="preserve">Apr–Aug 2024</w:t>
      </w:r>
    </w:p>
    <w:p>
      <w:pPr>
        <w:pStyle w:val="BodyText"/>
      </w:pPr>
      <w:r>
        <w:t xml:space="preserve">Quantitative Report; Case Study Summaries (Riyadh Metro, SDAIA Projects)</w:t>
      </w:r>
    </w:p>
    <w:p>
      <w:pPr>
        <w:pStyle w:val="BodyText"/>
      </w:pPr>
      <w:r>
        <w:t xml:space="preserve">Action Research Workshops</w:t>
      </w:r>
    </w:p>
    <w:p>
      <w:pPr>
        <w:pStyle w:val="BodyText"/>
      </w:pPr>
      <w:r>
        <w:t xml:space="preserve">Sep–Nov 2024</w:t>
      </w:r>
    </w:p>
    <w:p>
      <w:pPr>
        <w:pStyle w:val="BodyText"/>
      </w:pPr>
      <w:r>
        <w:t xml:space="preserve">Institutional Framework Proposal; Curriculum Blueprint</w:t>
      </w:r>
    </w:p>
    <w:p>
      <w:pPr>
        <w:pStyle w:val="BodyText"/>
      </w:pPr>
      <w:r>
        <w:t xml:space="preserve">Thesis Drafting &amp; Validation</w:t>
      </w:r>
    </w:p>
    <w:p>
      <w:pPr>
        <w:pStyle w:val="BodyText"/>
      </w:pPr>
      <w:r>
        <w:t xml:space="preserve">Dec 2024–Feb 2025</w:t>
      </w:r>
    </w:p>
    <w:p>
      <w:pPr>
        <w:pStyle w:val="BodyText"/>
      </w:pPr>
      <w:r>
        <w:t xml:space="preserve">&lt;</w:t>
      </w:r>
    </w:p>
    <w:p>
      <w:pPr>
        <w:pStyle w:val="BodyText"/>
      </w:pPr>
      <w:r>
        <w:t xml:space="preserve">Full Thesis Document; Stakeholder Endorsements (KACST, MOE)</w:t>
      </w:r>
    </w:p>
    <w:p>
      <w:pPr>
        <w:pStyle w:val="BodyText"/>
      </w:pPr>
      <w:r>
        <w:t xml:space="preserve">Dissertation Submission</w:t>
      </w:r>
    </w:p>
    <w:p>
      <w:pPr>
        <w:pStyle w:val="BodyText"/>
      </w:pPr>
      <w:r>
        <w:t xml:space="preserve">June 2025</w:t>
      </w:r>
    </w:p>
    <w:bookmarkEnd w:id="26"/>
    <w:bookmarkStart w:id="27" w:name="conclusion"/>
    <w:p>
      <w:pPr>
        <w:pStyle w:val="Heading2"/>
      </w:pPr>
      <w:r>
        <w:t xml:space="preserve">8. Conclusion</w:t>
      </w:r>
    </w:p>
    <w:p>
      <w:pPr>
        <w:pStyle w:val="FirstParagraph"/>
      </w:pPr>
      <w:r>
        <w:t xml:space="preserve">This Thesis Proposal underscores that a Mathematician is not merely an academic specialist but a strategic catalyst for Saudi Arabia Riyadh’s vision of becoming a global innovation capital. As Riyadh accelerates toward smart city status, the nuanced problem-solving capabilities of mathematicians—particularly in probabilistic modeling, algorithm design, and systems optimization—will determine the efficiency and scalability of its technological infrastructure. The Kingdom’s investment in this field aligns with its national narrative of self-reliance (Al-Aswad et al., 2023), transforming mathematics from a theoretical discipline into a cornerstone of economic sovereignty. This research will position Riyadh as the benchmark for how Saudi Arabia Riyadh harnesses mathematical excellence to drive sustainable, culturally resonant progress. By centering the Mathematician within national strategy, this Thesis Proposal offers a pathway to elevate Saudi Arabia’s global standing in innovation while fulfilling Vision 2030’s promise of a knowledge-driven future.</w:t>
      </w:r>
    </w:p>
    <w:bookmarkEnd w:id="27"/>
    <w:bookmarkStart w:id="28" w:name="references-selected"/>
    <w:p>
      <w:pPr>
        <w:pStyle w:val="Heading2"/>
      </w:pPr>
      <w:r>
        <w:t xml:space="preserve">9. References (Selected)</w:t>
      </w:r>
    </w:p>
    <w:p>
      <w:pPr>
        <w:numPr>
          <w:ilvl w:val="0"/>
          <w:numId w:val="1004"/>
        </w:numPr>
        <w:pStyle w:val="Compact"/>
      </w:pPr>
      <w:r>
        <w:t xml:space="preserve">Al-Saleh, M. S. (2022). *STEM Education in the Gulf: Gaps and Opportunities*. KACST Press.</w:t>
      </w:r>
    </w:p>
    <w:p>
      <w:pPr>
        <w:numPr>
          <w:ilvl w:val="0"/>
          <w:numId w:val="1004"/>
        </w:numPr>
        <w:pStyle w:val="Compact"/>
      </w:pPr>
      <w:r>
        <w:t xml:space="preserve">Gandy, M. H., Jr. (2018). Urban Data Ecosystems: The Mathematics of Smart Cities. *Journal of Urban Technology*, 25(3), 7–29.</w:t>
      </w:r>
    </w:p>
    <w:p>
      <w:pPr>
        <w:numPr>
          <w:ilvl w:val="0"/>
          <w:numId w:val="1004"/>
        </w:numPr>
        <w:pStyle w:val="Compact"/>
      </w:pPr>
      <w:r>
        <w:t xml:space="preserve">World Bank. (2023). *Saudi Arabia Education Reform Report*. Washington, DC: World Bank Group.</w:t>
      </w:r>
    </w:p>
    <w:p>
      <w:pPr>
        <w:pStyle w:val="FirstParagraph"/>
      </w:pPr>
      <w:r>
        <w:rPr>
          <w:iCs/>
          <w:i/>
        </w:rPr>
        <w:t xml:space="preserve">This Thesis Proposal is submitted to the Graduate College at King Saud University, Riyadh, in fulfillment of requirements for a Doctorate in Applied Mathematics and Innovation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Mathematician in Advancing Innovation within Saudi Arabia Riyadh</dc:title>
  <dc:creator/>
  <dc:language>en</dc:language>
  <cp:keywords/>
  <dcterms:created xsi:type="dcterms:W3CDTF">2026-04-29T02:37:58Z</dcterms:created>
  <dcterms:modified xsi:type="dcterms:W3CDTF">2026-04-29T02:37:58Z</dcterms:modified>
</cp:coreProperties>
</file>

<file path=docProps/custom.xml><?xml version="1.0" encoding="utf-8"?>
<Properties xmlns="http://schemas.openxmlformats.org/officeDocument/2006/custom-properties" xmlns:vt="http://schemas.openxmlformats.org/officeDocument/2006/docPropsVTypes"/>
</file>