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a0586b360eb68ab0267d0f3e2b184f510cbfa5e"/>
    <w:p>
      <w:pPr>
        <w:pStyle w:val="Heading1"/>
      </w:pPr>
      <w:r>
        <w:t xml:space="preserve">Thesis Proposal: Cultivating the Next Generation of Mathematicians in South Korea Seoul</w:t>
      </w:r>
    </w:p>
    <w:bookmarkStart w:id="20" w:name="introduction-and-background"/>
    <w:p>
      <w:pPr>
        <w:pStyle w:val="Heading2"/>
      </w:pPr>
      <w:r>
        <w:t xml:space="preserve">1. Introduction and Background</w:t>
      </w:r>
    </w:p>
    <w:p>
      <w:pPr>
        <w:pStyle w:val="FirstParagraph"/>
      </w:pPr>
      <w:r>
        <w:t xml:space="preserve">The pursuit of mathematical excellence stands as a cornerstone of scientific advancement, technological innovation, and economic development globally. In South Korea Seoul—a city renowned for its cutting-edge educational infrastructure and research ecosystem—the role of the Mathematician has evolved beyond theoretical exploration to become a pivotal driver in national competitiveness. As South Korea accelerates its ambitions in artificial intelligence, quantum computing, and data science, the demand for world-class mathematicians intensifies. However, current academic frameworks in Seoul face challenges in nurturing indigenous mathematical talent while bridging international research gaps. This Thesis Proposal outlines a comprehensive research agenda to address these challenges by examining institutional structures, pedagogical approaches, and collaborative ecosystems that shape the trajectory of aspiring Mathematicians within South Korea Seoul.</w:t>
      </w:r>
    </w:p>
    <w:bookmarkEnd w:id="20"/>
    <w:bookmarkStart w:id="21" w:name="problem-statement"/>
    <w:p>
      <w:pPr>
        <w:pStyle w:val="Heading2"/>
      </w:pPr>
      <w:r>
        <w:t xml:space="preserve">2. Problem Statement</w:t>
      </w:r>
    </w:p>
    <w:p>
      <w:pPr>
        <w:pStyle w:val="FirstParagraph"/>
      </w:pPr>
      <w:r>
        <w:t xml:space="preserve">Despite South Korea’s remarkable investment in STEM education—ranking among the world’s top nations in PISA mathematics scores—the pipeline for producing globally recognized Mathematicians remains fragmented. Key issues include: (a) Over-reliance on rote memorization over creative problem-solving; (b) Limited interdisciplinary collaboration between Seoul’s premier institutions (e.g., Seoul National University, KAIST); and (c) Insufficient mentorship pathways connecting early-career researchers to international mathematical communities. Critically, the unique cultural and academic context of South Korea Seoul demands a localized solution rather than imported models. This thesis directly confronts these gaps by investigating how to optimize the development of Mathematicians within Seoul’s distinct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curriculum design in Seoul’s leading mathematics departments and identify pedagogical innovations that foster mathematical creativity.</w:t>
      </w:r>
    </w:p>
    <w:p>
      <w:pPr>
        <w:numPr>
          <w:ilvl w:val="0"/>
          <w:numId w:val="1001"/>
        </w:numPr>
        <w:pStyle w:val="Compact"/>
      </w:pPr>
      <w:r>
        <w:t xml:space="preserve">To map the professional trajectories of successful Mathematicians in South Korea Seoul, pinpointing institutional support systems (funding, mentorship, conferences) that enabled their breakthroughs.</w:t>
      </w:r>
    </w:p>
    <w:p>
      <w:pPr>
        <w:numPr>
          <w:ilvl w:val="0"/>
          <w:numId w:val="1001"/>
        </w:numPr>
        <w:pStyle w:val="Compact"/>
      </w:pPr>
      <w:r>
        <w:t xml:space="preserve">To propose a framework for integrating Seoul’s technological industry (e.g., Samsung, LG) with academic research to create "real-world problem-solving" pathways for Mathematicians.</w:t>
      </w:r>
    </w:p>
    <w:p>
      <w:pPr>
        <w:numPr>
          <w:ilvl w:val="0"/>
          <w:numId w:val="1001"/>
        </w:numPr>
        <w:pStyle w:val="Compact"/>
      </w:pPr>
      <w:r>
        <w:t xml:space="preserve">To develop culturally responsive strategies for retaining top mathematical talent within South Korea Seoul amid global competition.</w:t>
      </w:r>
    </w:p>
    <w:bookmarkEnd w:id="22"/>
    <w:bookmarkStart w:id="23" w:name="literature-review"/>
    <w:p>
      <w:pPr>
        <w:pStyle w:val="Heading2"/>
      </w:pPr>
      <w:r>
        <w:t xml:space="preserve">4. Literature Review</w:t>
      </w:r>
    </w:p>
    <w:p>
      <w:pPr>
        <w:pStyle w:val="FirstParagraph"/>
      </w:pPr>
      <w:r>
        <w:t xml:space="preserve">Existing scholarship emphasizes the role of national policies in mathematical advancement (e.g., Stigler &amp; Hiebert, 1999), yet few studies contextualize this within East Asian urban ecosystems like Seoul. Research by Park (2020) highlights South Korea’s high-performance education model but notes its "rigidity in advanced mathematics." Conversely, international models (e.g., MIT’s Math Department) prioritize collaborative inquiry—yet lack adaptation to Seoul’s collectivist academic culture. This thesis bridges this gap by interrogating how Seoul-specific factors (e.g., the *jeong* concept of relational trust, high-stakes exam culture) influence Mathematician development. Crucially, it challenges the assumption that Western frameworks automatically translate to Seoul’s context, arguing instead for a hybrid model rooted in local epistemologies.</w:t>
      </w:r>
    </w:p>
    <w:bookmarkEnd w:id="23"/>
    <w:bookmarkStart w:id="24" w:name="methodology"/>
    <w:p>
      <w:pPr>
        <w:pStyle w:val="Heading2"/>
      </w:pPr>
      <w:r>
        <w:t xml:space="preserve">5. Methodology</w:t>
      </w:r>
    </w:p>
    <w:p>
      <w:pPr>
        <w:pStyle w:val="FirstParagraph"/>
      </w:pPr>
      <w:r>
        <w:t xml:space="preserve">This mixed-methods study employs three interconnected approaches across five academic institutions in Seoul:</w:t>
      </w:r>
    </w:p>
    <w:p>
      <w:pPr>
        <w:numPr>
          <w:ilvl w:val="0"/>
          <w:numId w:val="1002"/>
        </w:numPr>
        <w:pStyle w:val="Compact"/>
      </w:pPr>
      <w:r>
        <w:rPr>
          <w:bCs/>
          <w:b/>
        </w:rPr>
        <w:t xml:space="preserve">Quantitative Analysis:</w:t>
      </w:r>
      <w:r>
        <w:t xml:space="preserve"> </w:t>
      </w:r>
      <w:r>
        <w:t xml:space="preserve">Survey of 300 mathematics students (undergraduate to postdoc) at Seoul National University, Yonsei, and KAIST, measuring problem-solving autonomy vs. standardized testing exposure.</w:t>
      </w:r>
    </w:p>
    <w:p>
      <w:pPr>
        <w:numPr>
          <w:ilvl w:val="0"/>
          <w:numId w:val="1002"/>
        </w:numPr>
        <w:pStyle w:val="Compact"/>
      </w:pPr>
      <w:r>
        <w:rPr>
          <w:bCs/>
          <w:b/>
        </w:rPr>
        <w:t xml:space="preserve">Qualitative Case Studies:</w:t>
      </w:r>
      <w:r>
        <w:t xml:space="preserve"> </w:t>
      </w:r>
      <w:r>
        <w:t xml:space="preserve">In-depth interviews with 25 Mathematicians who achieved international recognition (e.g., Fields Medalists in Korean diaspora), focusing on pivotal career catalysts within Seoul’s ecosystem.</w:t>
      </w:r>
    </w:p>
    <w:p>
      <w:pPr>
        <w:numPr>
          <w:ilvl w:val="0"/>
          <w:numId w:val="1002"/>
        </w:numPr>
        <w:pStyle w:val="Compact"/>
      </w:pPr>
      <w:r>
        <w:rPr>
          <w:bCs/>
          <w:b/>
        </w:rPr>
        <w:t xml:space="preserve">Policy Mapping:</w:t>
      </w:r>
      <w:r>
        <w:t xml:space="preserve"> </w:t>
      </w:r>
      <w:r>
        <w:t xml:space="preserve">Comparative analysis of Seoul’s National Research Foundation funding policies (2015–2023) against global benchmarks, identifying underfunded research niches critical to emerging technologies.</w:t>
      </w:r>
    </w:p>
    <w:p>
      <w:pPr>
        <w:pStyle w:val="FirstParagraph"/>
      </w:pPr>
      <w:r>
        <w:t xml:space="preserve">Data collection will occur in partnership with the Korean Mathematical Society and Seoul Metropolitan Government, ensuring alignment with South Korea’s "AI Nation" 2030 strategy. Ethical approval is secured through SNU’s Institutional Review Board.</w:t>
      </w:r>
    </w:p>
    <w:bookmarkEnd w:id="24"/>
    <w:bookmarkStart w:id="25" w:name="expected-contributions"/>
    <w:p>
      <w:pPr>
        <w:pStyle w:val="Heading2"/>
      </w:pPr>
      <w:r>
        <w:t xml:space="preserve">6. Expected Contributions</w:t>
      </w:r>
    </w:p>
    <w:p>
      <w:pPr>
        <w:pStyle w:val="FirstParagraph"/>
      </w:pPr>
      <w:r>
        <w:t xml:space="preserve">This Thesis Proposal delivers four transformative contributions:</w:t>
      </w:r>
    </w:p>
    <w:p>
      <w:pPr>
        <w:numPr>
          <w:ilvl w:val="0"/>
          <w:numId w:val="1003"/>
        </w:numPr>
        <w:pStyle w:val="Compact"/>
      </w:pPr>
      <w:r>
        <w:rPr>
          <w:bCs/>
          <w:b/>
        </w:rPr>
        <w:t xml:space="preserve">Academic:</w:t>
      </w:r>
      <w:r>
        <w:t xml:space="preserve"> </w:t>
      </w:r>
      <w:r>
        <w:t xml:space="preserve">A new theoretical lens ("Seoul Mathematical Ecosystem Model") explaining how urban institutional dynamics shape Mathematician development, published in journals like *Educational Studies in Mathematics*.</w:t>
      </w:r>
    </w:p>
    <w:p>
      <w:pPr>
        <w:numPr>
          <w:ilvl w:val="0"/>
          <w:numId w:val="1003"/>
        </w:numPr>
        <w:pStyle w:val="Compact"/>
      </w:pPr>
      <w:r>
        <w:rPr>
          <w:bCs/>
          <w:b/>
        </w:rPr>
        <w:t xml:space="preserve">Pedagogical:</w:t>
      </w:r>
      <w:r>
        <w:t xml:space="preserve"> </w:t>
      </w:r>
      <w:r>
        <w:t xml:space="preserve">Curriculum templates for Seoul universities emphasizing open-ended problem-solving (e.g., "Mathematics Lab" modules co-designed with industry partners), reducing reliance on exam-centric learning.</w:t>
      </w:r>
    </w:p>
    <w:p>
      <w:pPr>
        <w:numPr>
          <w:ilvl w:val="0"/>
          <w:numId w:val="1003"/>
        </w:numPr>
        <w:pStyle w:val="Compact"/>
      </w:pPr>
      <w:r>
        <w:rPr>
          <w:bCs/>
          <w:b/>
        </w:rPr>
        <w:t xml:space="preserve">Policy:</w:t>
      </w:r>
      <w:r>
        <w:t xml:space="preserve"> </w:t>
      </w:r>
      <w:r>
        <w:t xml:space="preserve">Evidence-based recommendations for Seoul’s Department of Education to realign funding toward interdisciplinary research—specifically targeting AI/quantum mathematics clusters in Seoul Gangnam District.</w:t>
      </w:r>
    </w:p>
    <w:p>
      <w:pPr>
        <w:numPr>
          <w:ilvl w:val="0"/>
          <w:numId w:val="1003"/>
        </w:numPr>
        <w:pStyle w:val="Compact"/>
      </w:pPr>
      <w:r>
        <w:rPr>
          <w:bCs/>
          <w:b/>
        </w:rPr>
        <w:t xml:space="preserve">Societal:</w:t>
      </w:r>
      <w:r>
        <w:t xml:space="preserve"> </w:t>
      </w:r>
      <w:r>
        <w:t xml:space="preserve">A mentorship platform connecting Seoul-based Mathematicians with K-12 schools, directly addressing youth engagement gaps in STEM. This initiative aligns with South Korea’s 2030 Education Vision to "cultivate mathematical thinking as a national competency."</w:t>
      </w:r>
    </w:p>
    <w:bookmarkEnd w:id="25"/>
    <w:bookmarkStart w:id="26" w:name="timeline-and-feasibility"/>
    <w:p>
      <w:pPr>
        <w:pStyle w:val="Heading2"/>
      </w:pPr>
      <w:r>
        <w:t xml:space="preserve">7. Timeline and Feasibility</w:t>
      </w:r>
    </w:p>
    <w:p>
      <w:pPr>
        <w:pStyle w:val="FirstParagraph"/>
      </w:pPr>
      <w:r>
        <w:t xml:space="preserve">The proposed research spans 18 months, structured as follows:</w:t>
      </w:r>
    </w:p>
    <w:p>
      <w:pPr>
        <w:numPr>
          <w:ilvl w:val="0"/>
          <w:numId w:val="1004"/>
        </w:numPr>
        <w:pStyle w:val="Compact"/>
      </w:pPr>
      <w:r>
        <w:rPr>
          <w:bCs/>
          <w:b/>
        </w:rPr>
        <w:t xml:space="preserve">Months 1–4:</w:t>
      </w:r>
      <w:r>
        <w:t xml:space="preserve"> </w:t>
      </w:r>
      <w:r>
        <w:t xml:space="preserve">Literature synthesis and institutional partnerships (Seoul National University, KAIST).</w:t>
      </w:r>
    </w:p>
    <w:p>
      <w:pPr>
        <w:numPr>
          <w:ilvl w:val="0"/>
          <w:numId w:val="1004"/>
        </w:numPr>
        <w:pStyle w:val="Compact"/>
      </w:pPr>
      <w:r>
        <w:rPr>
          <w:bCs/>
          <w:b/>
        </w:rPr>
        <w:t xml:space="preserve">Months 5–10:</w:t>
      </w:r>
      <w:r>
        <w:t xml:space="preserve"> </w:t>
      </w:r>
      <w:r>
        <w:t xml:space="preserve">Data collection: Student surveys, interview protocol finalization with Korean Mathematical Society.</w:t>
      </w:r>
    </w:p>
    <w:p>
      <w:pPr>
        <w:numPr>
          <w:ilvl w:val="0"/>
          <w:numId w:val="1004"/>
        </w:numPr>
        <w:pStyle w:val="Compact"/>
      </w:pPr>
      <w:r>
        <w:rPr>
          <w:bCs/>
          <w:b/>
        </w:rPr>
        <w:t xml:space="preserve">Months 11–14:</w:t>
      </w:r>
      <w:r>
        <w:t xml:space="preserve"> </w:t>
      </w:r>
      <w:r>
        <w:t xml:space="preserve">Comparative policy analysis and framework development.</w:t>
      </w:r>
    </w:p>
    <w:p>
      <w:pPr>
        <w:numPr>
          <w:ilvl w:val="0"/>
          <w:numId w:val="1004"/>
        </w:numPr>
        <w:pStyle w:val="Compact"/>
      </w:pPr>
      <w:r>
        <w:rPr>
          <w:bCs/>
          <w:b/>
        </w:rPr>
        <w:t xml:space="preserve">Months 15–18:</w:t>
      </w:r>
      <w:r>
        <w:t xml:space="preserve"> </w:t>
      </w:r>
      <w:r>
        <w:t xml:space="preserve">Drafting thesis, stakeholder workshops in Seoul (e.g., with Samsung Advanced Institute of Technology), final submission.</w:t>
      </w:r>
    </w:p>
    <w:p>
      <w:pPr>
        <w:pStyle w:val="FirstParagraph"/>
      </w:pPr>
      <w:r>
        <w:t xml:space="preserve">Feasibility is ensured by existing collaborations: The Principal Investigator (a Korean mathematician at SNU) has secured preliminary data access from Seoul’s education authorities. Funding will be sourced through the National Research Foundation of Korea’s "Human Capital Development" grant program—directly supporting South Korea Seoul’s strategic goals.</w:t>
      </w:r>
    </w:p>
    <w:bookmarkEnd w:id="26"/>
    <w:bookmarkStart w:id="27" w:name="significance-for-south-korea-seoul"/>
    <w:p>
      <w:pPr>
        <w:pStyle w:val="Heading2"/>
      </w:pPr>
      <w:r>
        <w:t xml:space="preserve">8. Significance for South Korea Seoul</w:t>
      </w:r>
    </w:p>
    <w:p>
      <w:pPr>
        <w:pStyle w:val="FirstParagraph"/>
      </w:pPr>
      <w:r>
        <w:t xml:space="preserve">This research transcends academic inquiry to address South Korea Seoul’s urgent national interest. As a global hub for innovation, the city must cultivate Mathematicians who can solve complex challenges in autonomous systems, cybersecurity, and sustainable energy—areas where mathematical rigor is non-negotiable. By centering the Mathematician as both subject and agent of change (not merely a product of systems), this thesis reframes Seoul’s educational strategy from "training" to "empowerment." It directly supports South Korea’s Vision 2030: A society where every young person can pursue mathematical excellence without migrating abroad. The outcome—a replicable model for Seoul—will position South Korea not just as a consumer of global mathematics but as its next frontier of discovery.</w:t>
      </w:r>
    </w:p>
    <w:bookmarkEnd w:id="27"/>
    <w:bookmarkStart w:id="28" w:name="conclusion"/>
    <w:p>
      <w:pPr>
        <w:pStyle w:val="Heading2"/>
      </w:pPr>
      <w:r>
        <w:t xml:space="preserve">9. Conclusion</w:t>
      </w:r>
    </w:p>
    <w:p>
      <w:pPr>
        <w:pStyle w:val="FirstParagraph"/>
      </w:pPr>
      <w:r>
        <w:t xml:space="preserve">The future trajectory of South Korea Seoul is inextricably linked to the flourishing of its Mathematicians. This Thesis Proposal articulates a vital roadmap for transforming Seoul’s academic landscape into an engine for mathematical leadership, grounded in local context yet globally resonant. It moves beyond diagnosing problems to co-creating solutions with Seoul’s institutional pillars, ensuring that every emerging Mathematician contributes meaningfully to South Korea’s scientific sovereignty. As we advance this research within the heart of Seoul—where ancient traditions meet digital futures—the resulting framework will echo far beyond Korea: proving that excellence in mathematics thrives when nurtured by culture, curiosity, and community.</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South Korea Seoul</dc:title>
  <dc:creator/>
  <dc:language>en</dc:language>
  <cp:keywords/>
  <dcterms:created xsi:type="dcterms:W3CDTF">2026-07-21T06:56:08Z</dcterms:created>
  <dcterms:modified xsi:type="dcterms:W3CDTF">2026-07-21T06:56:08Z</dcterms:modified>
</cp:coreProperties>
</file>

<file path=docProps/custom.xml><?xml version="1.0" encoding="utf-8"?>
<Properties xmlns="http://schemas.openxmlformats.org/officeDocument/2006/custom-properties" xmlns:vt="http://schemas.openxmlformats.org/officeDocument/2006/docPropsVTypes"/>
</file>