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b28375c17a91c28608838aed1eac21bdba3baa3"/>
    <w:p>
      <w:pPr>
        <w:pStyle w:val="Heading1"/>
      </w:pPr>
      <w:r>
        <w:t xml:space="preserve">Thesis Proposal: Advancing Mathematical Research and Education for Strategic Development in United Arab Emirates Abu Dhabi</w:t>
      </w:r>
    </w:p>
    <w:bookmarkStart w:id="20" w:name="introduction-and-background"/>
    <w:p>
      <w:pPr>
        <w:pStyle w:val="Heading2"/>
      </w:pPr>
      <w:r>
        <w:t xml:space="preserve">Introduction and Background</w:t>
      </w:r>
    </w:p>
    <w:p>
      <w:pPr>
        <w:pStyle w:val="FirstParagraph"/>
      </w:pPr>
      <w:r>
        <w:t xml:space="preserve">The United Arab Emirates, under the visionary leadership of His Highness Sheikh Khalifa bin Zayed Al Nahyan and now His Highness Sheikh Mohamed bin Zayed Al Nahyan, has embarked on an ambitious journey toward knowledge-based economic diversification. Central to this transformation is the strategic emphasis on science, technology, engineering, and mathematics (STEM) education and research. As a</w:t>
      </w:r>
      <w:r>
        <w:t xml:space="preserve"> </w:t>
      </w:r>
      <w:r>
        <w:rPr>
          <w:bCs/>
          <w:b/>
        </w:rPr>
        <w:t xml:space="preserve">Mathematician</w:t>
      </w:r>
      <w:r>
        <w:t xml:space="preserve"> </w:t>
      </w:r>
      <w:r>
        <w:t xml:space="preserve">deeply invested in the academic and developmental trajectory of Abu Dhabi—the capital city driving this national vision—this Thesis Proposal outlines a comprehensive research framework designed to elevate mathematical contributions within the United Arab Emirates Abu Dhabi ecosystem. The proposal addresses critical gaps in how advanced mathematics is applied to solve real-world challenges unique to our region, positioning Abu Dhabi as a global hub for mathematical innovation.</w:t>
      </w:r>
    </w:p>
    <w:p>
      <w:pPr>
        <w:pStyle w:val="BodyText"/>
      </w:pPr>
      <w:r>
        <w:rPr>
          <w:bCs/>
          <w:b/>
        </w:rPr>
        <w:t xml:space="preserve">Thesis Proposal</w:t>
      </w:r>
      <w:r>
        <w:t xml:space="preserve"> </w:t>
      </w:r>
      <w:r>
        <w:t xml:space="preserve">is not merely an academic exercise but a strategic roadmap aligned with Abu Dhabi Vision 2030 and the UAE Centennial 2071. It seeks to bridge theoretical mathematical excellence with tangible societal impact in a region where water scarcity, energy transition, and rapid urbanization demand sophisticated quantitative solutions.</w:t>
      </w:r>
    </w:p>
    <w:bookmarkEnd w:id="20"/>
    <w:bookmarkStart w:id="21" w:name="problem-statement"/>
    <w:p>
      <w:pPr>
        <w:pStyle w:val="Heading2"/>
      </w:pPr>
      <w:r>
        <w:t xml:space="preserve">Problem Statement</w:t>
      </w:r>
    </w:p>
    <w:p>
      <w:pPr>
        <w:pStyle w:val="FirstParagraph"/>
      </w:pPr>
      <w:r>
        <w:t xml:space="preserve">Despite Abu Dhabi's significant investments in education through institutions like the Masdar Institute (now Khalifa University) and NYU Abu Dhabi, there remains a critical underutilization of advanced mathematical frameworks in addressing local challenges. Current research often focuses on applied engineering without sufficient integration of cutting-edge mathematics. A skilled</w:t>
      </w:r>
      <w:r>
        <w:t xml:space="preserve"> </w:t>
      </w:r>
      <w:r>
        <w:rPr>
          <w:bCs/>
          <w:b/>
        </w:rPr>
        <w:t xml:space="preserve">Mathematician</w:t>
      </w:r>
      <w:r>
        <w:t xml:space="preserve"> </w:t>
      </w:r>
      <w:r>
        <w:t xml:space="preserve">operating within Abu Dhabi must navigate three key constraints: (1) Limited interdisciplinary collaboration between pure mathematics and sectors like sustainable energy or urban planning, (2) Insufficient localized mathematical modeling for regional environmental issues, and (3) A talent pipeline that does not yet produce enough homegrown experts capable of leading complex mathematical innovation in UAE contexts. This gap impedes Abu Dhabi's ability to leverage mathematics as a catalyst for sustainable development.</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Region-Specific Mathematical Frameworks:</w:t>
      </w:r>
      <w:r>
        <w:t xml:space="preserve"> </w:t>
      </w:r>
      <w:r>
        <w:t xml:space="preserve">Create predictive models for water resource management in arid climates, integrating hydrological data with advanced stochastic calculus and machine learning algorithms tailored to Abu Dhabi's unique geography.</w:t>
      </w:r>
    </w:p>
    <w:p>
      <w:pPr>
        <w:numPr>
          <w:ilvl w:val="0"/>
          <w:numId w:val="1001"/>
        </w:numPr>
        <w:pStyle w:val="Compact"/>
      </w:pPr>
      <w:r>
        <w:rPr>
          <w:bCs/>
          <w:b/>
        </w:rPr>
        <w:t xml:space="preserve">Strengthen Academic-Industry Linkages:</w:t>
      </w:r>
      <w:r>
        <w:t xml:space="preserve"> </w:t>
      </w:r>
      <w:r>
        <w:t xml:space="preserve">Establish a collaborative network between the Mathematics Department at Khalifa University, Abu Dhabi Water &amp; Electricity Authority (ADWEA), and Masdar City to co-design research projects addressing real-time energy optimization challenges.</w:t>
      </w:r>
    </w:p>
    <w:p>
      <w:pPr>
        <w:numPr>
          <w:ilvl w:val="0"/>
          <w:numId w:val="1001"/>
        </w:numPr>
        <w:pStyle w:val="Compact"/>
      </w:pPr>
      <w:r>
        <w:rPr>
          <w:bCs/>
          <w:b/>
        </w:rPr>
        <w:t xml:space="preserve">Cultivate Local Mathematical Talent:</w:t>
      </w:r>
      <w:r>
        <w:t xml:space="preserve"> </w:t>
      </w:r>
      <w:r>
        <w:t xml:space="preserve">Propose a specialized curriculum for Emirati students combining theoretical mathematics with applied problem-solving in UAE contexts, supported by mentorship from leading global</w:t>
      </w:r>
      <w:r>
        <w:t xml:space="preserve"> </w:t>
      </w:r>
      <w:r>
        <w:rPr>
          <w:bCs/>
          <w:b/>
        </w:rPr>
        <w:t xml:space="preserve">Mathematician</w:t>
      </w:r>
      <w:r>
        <w:t xml:space="preserve">s based in Abu Dhabi.</w:t>
      </w:r>
    </w:p>
    <w:bookmarkEnd w:id="22"/>
    <w:bookmarkStart w:id="23" w:name="literature-review"/>
    <w:p>
      <w:pPr>
        <w:pStyle w:val="Heading2"/>
      </w:pPr>
      <w:r>
        <w:t xml:space="preserve">Literature Review</w:t>
      </w:r>
    </w:p>
    <w:p>
      <w:pPr>
        <w:pStyle w:val="FirstParagraph"/>
      </w:pPr>
      <w:r>
        <w:t xml:space="preserve">Existing literature on mathematical applications in the Gulf region (e.g., studies on desert climate modeling by Al-Jabri &amp; Al-Balushi, 2019) remains largely descriptive rather than predictive. Global frameworks like those from MIT’s Urban Science Initiative (2021) lack customization for Abu Dhabi's extreme heat conditions and rapid urban expansion. Crucially, no comprehensive research has yet examined how a</w:t>
      </w:r>
      <w:r>
        <w:t xml:space="preserve"> </w:t>
      </w:r>
      <w:r>
        <w:rPr>
          <w:bCs/>
          <w:b/>
        </w:rPr>
        <w:t xml:space="preserve">Mathematician</w:t>
      </w:r>
      <w:r>
        <w:t xml:space="preserve">'s role in UAE institutions can be strategically optimized to align with national economic diversification goals. This thesis fills that void by embedding mathematical innovation within the UAE's broader socio-economic architecture.</w:t>
      </w:r>
    </w:p>
    <w:bookmarkEnd w:id="23"/>
    <w:bookmarkStart w:id="24" w:name="methodology"/>
    <w:p>
      <w:pPr>
        <w:pStyle w:val="Heading2"/>
      </w:pPr>
      <w:r>
        <w:t xml:space="preserve">Methodology</w:t>
      </w:r>
    </w:p>
    <w:p>
      <w:pPr>
        <w:pStyle w:val="FirstParagraph"/>
      </w:pPr>
      <w:r>
        <w:t xml:space="preserve">The research employs a mixed-methods approach across three phases:</w:t>
      </w:r>
    </w:p>
    <w:p>
      <w:pPr>
        <w:numPr>
          <w:ilvl w:val="0"/>
          <w:numId w:val="1002"/>
        </w:numPr>
        <w:pStyle w:val="Compact"/>
      </w:pPr>
      <w:r>
        <w:rPr>
          <w:bCs/>
          <w:b/>
        </w:rPr>
        <w:t xml:space="preserve">Phase 1 (6 months):</w:t>
      </w:r>
      <w:r>
        <w:t xml:space="preserve"> </w:t>
      </w:r>
      <w:r>
        <w:t xml:space="preserve">Qualitative analysis of stakeholder needs through interviews with ADWEA engineers, urban planners at Abu Dhabi Municipality, and academic leaders at Khalifa University.</w:t>
      </w:r>
    </w:p>
    <w:p>
      <w:pPr>
        <w:numPr>
          <w:ilvl w:val="0"/>
          <w:numId w:val="1002"/>
        </w:numPr>
        <w:pStyle w:val="Compact"/>
      </w:pPr>
      <w:r>
        <w:rPr>
          <w:bCs/>
          <w:b/>
        </w:rPr>
        <w:t xml:space="preserve">Phase 2 (12 months):</w:t>
      </w:r>
      <w:r>
        <w:t xml:space="preserve"> </w:t>
      </w:r>
      <w:r>
        <w:t xml:space="preserve">Development of mathematical models using Python and MATLAB for water-energy nexus optimization, validated against historical data from Abu Dhabi’s environmental monitoring systems.</w:t>
      </w:r>
    </w:p>
    <w:p>
      <w:pPr>
        <w:numPr>
          <w:ilvl w:val="0"/>
          <w:numId w:val="1002"/>
        </w:numPr>
        <w:pStyle w:val="Compact"/>
      </w:pPr>
      <w:r>
        <w:rPr>
          <w:bCs/>
          <w:b/>
        </w:rPr>
        <w:t xml:space="preserve">Phase 3 (6 months):</w:t>
      </w:r>
      <w:r>
        <w:t xml:space="preserve"> </w:t>
      </w:r>
      <w:r>
        <w:t xml:space="preserve">Curriculum design workshop with Emirati educators and industry partners to integrate UAE-specific case studies into mathematics education at undergraduate levels.</w:t>
      </w:r>
    </w:p>
    <w:p>
      <w:pPr>
        <w:pStyle w:val="FirstParagraph"/>
      </w:pPr>
      <w:r>
        <w:t xml:space="preserve">Data will be sourced from Abu Dhabi Environmental Research Center databases and the UAE National Statistics Office. Ethical approvals will be secured through Khalifa University's Institutional Review Board, ensuring alignment with UAE research governance standards.</w:t>
      </w:r>
    </w:p>
    <w:bookmarkEnd w:id="24"/>
    <w:bookmarkStart w:id="25" w:name="expected-outcomes"/>
    <w:p>
      <w:pPr>
        <w:pStyle w:val="Heading2"/>
      </w:pPr>
      <w:r>
        <w:t xml:space="preserve">Expected Outcomes</w:t>
      </w:r>
    </w:p>
    <w:p>
      <w:pPr>
        <w:pStyle w:val="FirstParagraph"/>
      </w:pPr>
      <w:r>
        <w:t xml:space="preserve">This Thesis Proposal anticipates five transformative outcomes:</w:t>
      </w:r>
    </w:p>
    <w:p>
      <w:pPr>
        <w:numPr>
          <w:ilvl w:val="0"/>
          <w:numId w:val="1003"/>
        </w:numPr>
        <w:pStyle w:val="Compact"/>
      </w:pPr>
      <w:r>
        <w:t xml:space="preserve">A publicly accessible mathematical toolkit for Abu Dhabi’s water management authorities, projected to reduce resource waste by 15-20% through predictive analytics.</w:t>
      </w:r>
    </w:p>
    <w:p>
      <w:pPr>
        <w:numPr>
          <w:ilvl w:val="0"/>
          <w:numId w:val="1003"/>
        </w:numPr>
        <w:pStyle w:val="Compact"/>
      </w:pPr>
      <w:r>
        <w:t xml:space="preserve">Establishment of a formal "Mathematical Innovation Hub" within Khalifa University, fostering collaborations with UAE-based tech firms like G42 and Easaan.</w:t>
      </w:r>
    </w:p>
    <w:p>
      <w:pPr>
        <w:numPr>
          <w:ilvl w:val="0"/>
          <w:numId w:val="1003"/>
        </w:numPr>
        <w:pStyle w:val="Compact"/>
      </w:pPr>
      <w:r>
        <w:t xml:space="preserve">A new undergraduate course module—"Mathematics for Gulf Sustainability"—adopted across Abu Dhabi’s higher education institutions by 2026.</w:t>
      </w:r>
    </w:p>
    <w:p>
      <w:pPr>
        <w:numPr>
          <w:ilvl w:val="0"/>
          <w:numId w:val="1003"/>
        </w:numPr>
        <w:pStyle w:val="Compact"/>
      </w:pPr>
      <w:r>
        <w:t xml:space="preserve">At least three peer-reviewed publications in top journals (e.g., *SIAM Journal on Applied Mathematics*) with explicit UAE case studies.</w:t>
      </w:r>
    </w:p>
    <w:p>
      <w:pPr>
        <w:numPr>
          <w:ilvl w:val="0"/>
          <w:numId w:val="1003"/>
        </w:numPr>
        <w:pStyle w:val="Compact"/>
      </w:pPr>
      <w:r>
        <w:t xml:space="preserve">A pipeline of 15+ Emirati students committed to advanced mathematical research careers, directly supporting the UAE’s goal of 70% nationalization in technical roles by 2030.</w:t>
      </w:r>
    </w:p>
    <w:bookmarkEnd w:id="25"/>
    <w:bookmarkStart w:id="26" w:name="X3ee0d59ee1670824ff1ab883517762e5e19dc28"/>
    <w:p>
      <w:pPr>
        <w:pStyle w:val="Heading2"/>
      </w:pPr>
      <w:r>
        <w:t xml:space="preserve">Significance for United Arab Emirates Abu Dhabi</w:t>
      </w:r>
    </w:p>
    <w:p>
      <w:pPr>
        <w:pStyle w:val="FirstParagraph"/>
      </w:pPr>
      <w:r>
        <w:t xml:space="preserve">The strategic value of this work extends beyond academia. In Abu Dhabi—where water security ranks among the top developmental challenges—mathematical innovation directly supports national priorities outlined in the UAE Water Security Strategy 2036. A</w:t>
      </w:r>
      <w:r>
        <w:t xml:space="preserve"> </w:t>
      </w:r>
      <w:r>
        <w:rPr>
          <w:bCs/>
          <w:b/>
        </w:rPr>
        <w:t xml:space="preserve">Mathematician</w:t>
      </w:r>
      <w:r>
        <w:t xml:space="preserve"> </w:t>
      </w:r>
      <w:r>
        <w:t xml:space="preserve">operating within this framework doesn’t merely solve equations; they become a key architect of resilience for a city that houses 15% of the UAE’s population while occupying only 3% of its land. This research aligns with Abu Dhabi Economic Vision 2030’s emphasis on "knowledge-driven growth" and positions the emirate as a leader in applying abstract mathematics to solve concrete regional problems. Critically, it responds to His Highness Sheikh Khalifa's vision that "the future belongs to those who invest in knowledge today."</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Stakeholder Mapping</w:t>
            </w:r>
          </w:p>
        </w:tc>
        <w:tc>
          <w:tcPr/>
          <w:p>
            <w:pPr>
              <w:pStyle w:val="Compact"/>
              <w:jc w:val="left"/>
            </w:pPr>
            <w:r>
              <w:t xml:space="preserve">Months 1-3</w:t>
            </w:r>
          </w:p>
        </w:tc>
        <w:tc>
          <w:tcPr/>
          <w:p>
            <w:pPr>
              <w:pStyle w:val="Compact"/>
              <w:jc w:val="left"/>
            </w:pPr>
            <w:r>
              <w:t xml:space="preserve">Finalized problem statement; signed MoUs with ADWEA and Khalifa University departments</w:t>
            </w:r>
          </w:p>
        </w:tc>
      </w:tr>
      <w:tr>
        <w:tc>
          <w:tcPr/>
          <w:p>
            <w:pPr>
              <w:pStyle w:val="Compact"/>
              <w:jc w:val="left"/>
            </w:pPr>
            <w:r>
              <w:t xml:space="preserve">Model Development &amp; Validation</w:t>
            </w:r>
          </w:p>
        </w:tc>
        <w:tc>
          <w:tcPr/>
          <w:p>
            <w:pPr>
              <w:pStyle w:val="Compact"/>
              <w:jc w:val="left"/>
            </w:pPr>
            <w:r>
              <w:t xml:space="preserve">Months 4-15</w:t>
            </w:r>
          </w:p>
        </w:tc>
        <w:tc>
          <w:tcPr/>
          <w:p>
            <w:pPr>
              <w:pStyle w:val="Compact"/>
              <w:jc w:val="left"/>
            </w:pPr>
            <w:r>
              <w:t xml:space="preserve">Draft toolkit; preliminary academic papers submitted for review</w:t>
            </w:r>
          </w:p>
        </w:tc>
      </w:tr>
      <w:tr>
        <w:tc>
          <w:tcPr/>
          <w:p>
            <w:pPr>
              <w:pStyle w:val="Compact"/>
              <w:jc w:val="left"/>
            </w:pPr>
            <w:r>
              <w:t xml:space="preserve">Curriculum Design &amp; Community Engagement</w:t>
            </w:r>
          </w:p>
        </w:tc>
        <w:tc>
          <w:tcPr/>
          <w:p>
            <w:pPr>
              <w:pStyle w:val="Compact"/>
              <w:jc w:val="left"/>
            </w:pPr>
            <w:r>
              <w:t xml:space="preserve">Months 10-24</w:t>
            </w:r>
          </w:p>
        </w:tc>
        <w:tc>
          <w:tcPr/>
          <w:p>
            <w:pPr>
              <w:pStyle w:val="Compact"/>
              <w:jc w:val="left"/>
            </w:pPr>
            <w:r>
              <w:t xml:space="preserve">Workshop report; pilot course implementation at Khalifa University</w:t>
            </w:r>
          </w:p>
        </w:tc>
      </w:tr>
      <w:tr>
        <w:tc>
          <w:tcPr/>
          <w:p>
            <w:pPr>
              <w:pStyle w:val="Compact"/>
              <w:jc w:val="left"/>
            </w:pPr>
            <w:r>
              <w:t xml:space="preserve">Dissertation Writing &amp; Dissemination</w:t>
            </w:r>
          </w:p>
        </w:tc>
        <w:tc>
          <w:tcPr/>
          <w:p>
            <w:pPr>
              <w:pStyle w:val="Compact"/>
              <w:jc w:val="left"/>
            </w:pPr>
            <w:r>
              <w:t xml:space="preserve">Months 25-36</w:t>
            </w:r>
          </w:p>
        </w:tc>
        <w:tc>
          <w:tcPr/>
          <w:p>
            <w:pPr>
              <w:pStyle w:val="Compact"/>
              <w:jc w:val="left"/>
            </w:pPr>
            <w:r>
              <w:t xml:space="preserve">Final thesis submission; policy brief for Abu Dhabi Department of Energy</w:t>
            </w:r>
          </w:p>
        </w:tc>
      </w:tr>
    </w:tbl>
    <w:bookmarkEnd w:id="27"/>
    <w:bookmarkStart w:id="28" w:name="conclusion"/>
    <w:p>
      <w:pPr>
        <w:pStyle w:val="Heading2"/>
      </w:pPr>
      <w:r>
        <w:t xml:space="preserve">Conclusion</w:t>
      </w:r>
    </w:p>
    <w:p>
      <w:pPr>
        <w:pStyle w:val="FirstParagraph"/>
      </w:pPr>
      <w:r>
        <w:t xml:space="preserve">This Thesis Proposal asserts that the role of a modern</w:t>
      </w:r>
      <w:r>
        <w:t xml:space="preserve"> </w:t>
      </w:r>
      <w:r>
        <w:rPr>
          <w:bCs/>
          <w:b/>
        </w:rPr>
        <w:t xml:space="preserve">Mathematician</w:t>
      </w:r>
      <w:r>
        <w:t xml:space="preserve"> </w:t>
      </w:r>
      <w:r>
        <w:t xml:space="preserve">in the United Arab Emirates Abu Dhabi transcends traditional academic boundaries. It demands active participation in national strategic priorities—transforming theoretical rigor into tangible solutions for water security, urban sustainability, and economic diversification. By embedding mathematical excellence within Abu Dhabi’s developmental fabric, this research will not only advance global mathematical science but also deliver immediate value to the Emirate’s people and environment. In doing so, it fulfills the UAE's promise that "through mathematics we build a future where every drop counts," positioning Abu Dhabi as a beacon of innovation in an increasingly data-driven world. The successful implementation of this</w:t>
      </w:r>
      <w:r>
        <w:t xml:space="preserve"> </w:t>
      </w:r>
      <w:r>
        <w:rPr>
          <w:bCs/>
          <w:b/>
        </w:rPr>
        <w:t xml:space="preserve">Thesis Proposal</w:t>
      </w:r>
      <w:r>
        <w:t xml:space="preserve"> </w:t>
      </w:r>
      <w:r>
        <w:t xml:space="preserve">will establish a replicable model for how mathematical expertise can be harnessed to serve national vision, making the United Arab Emirates Abu Dhabi synonymous with intelligent, sustainable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United Arab Emirates Abu Dhabi</dc:title>
  <dc:creator/>
  <dc:language>en</dc:language>
  <cp:keywords/>
  <dcterms:created xsi:type="dcterms:W3CDTF">2026-07-23T06:24:32Z</dcterms:created>
  <dcterms:modified xsi:type="dcterms:W3CDTF">2026-07-23T06:24:32Z</dcterms:modified>
</cp:coreProperties>
</file>

<file path=docProps/custom.xml><?xml version="1.0" encoding="utf-8"?>
<Properties xmlns="http://schemas.openxmlformats.org/officeDocument/2006/custom-properties" xmlns:vt="http://schemas.openxmlformats.org/officeDocument/2006/docPropsVTypes"/>
</file>