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Frontiers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4b3c69d539e8986ab51a9e8e5360add12b5bc4d"/>
    <w:p>
      <w:pPr>
        <w:pStyle w:val="Heading1"/>
      </w:pPr>
      <w:r>
        <w:t xml:space="preserve">Thesis Proposal: Advancing Mathematical Frontiers in United Kingdom Birmingham</w:t>
      </w:r>
    </w:p>
    <w:bookmarkStart w:id="20" w:name="introduction"/>
    <w:p>
      <w:pPr>
        <w:pStyle w:val="Heading2"/>
      </w:pPr>
      <w:r>
        <w:t xml:space="preserve">Introduction</w:t>
      </w:r>
    </w:p>
    <w:p>
      <w:pPr>
        <w:pStyle w:val="FirstParagraph"/>
      </w:pPr>
      <w:r>
        <w:t xml:space="preserve">This thesis proposal outlines a groundbreaking research trajectory for a prospective Mathematician within the vibrant academic ecosystem of the United Kingdom, specifically anchored at the University of Birmingham. As one of Europe's leading research-intensive institutions situated in the heart of England's second-largest city, Birmingham offers an unparalleled environment for mathematical innovation. This proposal addresses critical gaps in applied mathematics with direct relevance to contemporary challenges facing global industries and communities—particularly those concentrated within the United Kingdom Birmingham metropolitan area. The central objective is to develop novel computational frameworks that bridge abstract mathematical theory with real-world problem-solving, positioning the University of Birmingham as a nexus for transformative mathematical research.</w:t>
      </w:r>
    </w:p>
    <w:bookmarkEnd w:id="20"/>
    <w:bookmarkStart w:id="21" w:name="research-context-and-significance"/>
    <w:p>
      <w:pPr>
        <w:pStyle w:val="Heading2"/>
      </w:pPr>
      <w:r>
        <w:t xml:space="preserve">Research Context and Significance</w:t>
      </w:r>
    </w:p>
    <w:p>
      <w:pPr>
        <w:pStyle w:val="FirstParagraph"/>
      </w:pPr>
      <w:r>
        <w:t xml:space="preserve">Birmingham's strategic position as a hub for advanced manufacturing, healthcare innovation, and smart city technologies creates an urgent demand for sophisticated mathematical modeling. The United Kingdom faces systemic challenges in optimizing urban infrastructure (energy grids, transportation networks) and accelerating medical breakthroughs through data science. However, existing mathematical tools often fail to scale efficiently under real-world complexity—a gap this research directly addresses. As a Mathematician committed to impactful scholarship, I propose developing "Adaptive Multiscale Mathematical Frameworks" (AMMF) specifically designed for dynamic systems in urban environments like Birmingham. This work aligns with the UK Government's Industrial Strategy and the University of Birmingham's own "Birmingham 2025" vision, which prioritizes cross-disciplinary innovation to solve societal challenges.</w:t>
      </w:r>
    </w:p>
    <w:bookmarkEnd w:id="21"/>
    <w:bookmarkStart w:id="22" w:name="research-questions"/>
    <w:p>
      <w:pPr>
        <w:pStyle w:val="Heading2"/>
      </w:pPr>
      <w:r>
        <w:t xml:space="preserve">Research Questions</w:t>
      </w:r>
    </w:p>
    <w:p>
      <w:pPr>
        <w:numPr>
          <w:ilvl w:val="0"/>
          <w:numId w:val="1001"/>
        </w:numPr>
        <w:pStyle w:val="Compact"/>
      </w:pPr>
      <w:r>
        <w:rPr>
          <w:bCs/>
          <w:b/>
        </w:rPr>
        <w:t xml:space="preserve">How can we construct mathematically rigorous yet computationally feasible models</w:t>
      </w:r>
      <w:r>
        <w:t xml:space="preserve"> </w:t>
      </w:r>
      <w:r>
        <w:t xml:space="preserve">that capture the non-linear interactions within Birmingham's rapidly evolving urban systems (e.g., traffic flow, energy distribution during peak demand)?</w:t>
      </w:r>
    </w:p>
    <w:p>
      <w:pPr>
        <w:numPr>
          <w:ilvl w:val="0"/>
          <w:numId w:val="1001"/>
        </w:numPr>
        <w:pStyle w:val="Compact"/>
      </w:pPr>
      <w:r>
        <w:rPr>
          <w:bCs/>
          <w:b/>
        </w:rPr>
        <w:t xml:space="preserve">To what extent do current numerical methods fail under real-time constraints</w:t>
      </w:r>
      <w:r>
        <w:t xml:space="preserve"> </w:t>
      </w:r>
      <w:r>
        <w:t xml:space="preserve">imposed by smart city infrastructure in the United Kingdom Birmingham context?</w:t>
      </w:r>
    </w:p>
    <w:p>
      <w:pPr>
        <w:numPr>
          <w:ilvl w:val="0"/>
          <w:numId w:val="1001"/>
        </w:numPr>
        <w:pStyle w:val="Compact"/>
      </w:pPr>
      <w:r>
        <w:rPr>
          <w:bCs/>
          <w:b/>
        </w:rPr>
        <w:t xml:space="preserve">Can we develop a unified mathematical language</w:t>
      </w:r>
      <w:r>
        <w:t xml:space="preserve"> </w:t>
      </w:r>
      <w:r>
        <w:t xml:space="preserve">that enables seamless integration of data from diverse sources (IoT sensors, public transport APIs, climate datasets) without compromising theoretical integrity?</w:t>
      </w:r>
    </w:p>
    <w:bookmarkEnd w:id="22"/>
    <w:bookmarkStart w:id="23" w:name="theoretical-framework-and-methodology"/>
    <w:p>
      <w:pPr>
        <w:pStyle w:val="Heading2"/>
      </w:pPr>
      <w:r>
        <w:t xml:space="preserve">Theoretical Framework and Methodology</w:t>
      </w:r>
    </w:p>
    <w:p>
      <w:pPr>
        <w:pStyle w:val="FirstParagraph"/>
      </w:pPr>
      <w:r>
        <w:t xml:space="preserve">This research adopts a dual-track methodology grounded in computational mathematics, dynamical systems theory, and data science. The proposed approach integrates three innovative pillars:</w:t>
      </w:r>
    </w:p>
    <w:p>
      <w:pPr>
        <w:numPr>
          <w:ilvl w:val="0"/>
          <w:numId w:val="1002"/>
        </w:numPr>
        <w:pStyle w:val="Compact"/>
      </w:pPr>
      <w:r>
        <w:rPr>
          <w:bCs/>
          <w:b/>
        </w:rPr>
        <w:t xml:space="preserve">Asymptotic Analysis for Urban Scale Reduction:</w:t>
      </w:r>
      <w:r>
        <w:t xml:space="preserve"> </w:t>
      </w:r>
      <w:r>
        <w:t xml:space="preserve">Adapting techniques from partial differential equations to reduce complex city-scale models to tractable multi-layered representations—critical for Birmingham's dense urban topology.</w:t>
      </w:r>
    </w:p>
    <w:p>
      <w:pPr>
        <w:numPr>
          <w:ilvl w:val="0"/>
          <w:numId w:val="1002"/>
        </w:numPr>
        <w:pStyle w:val="Compact"/>
      </w:pPr>
      <w:r>
        <w:rPr>
          <w:bCs/>
          <w:b/>
        </w:rPr>
        <w:t xml:space="preserve">Machine Learning-Augmented Numerical Schemes:</w:t>
      </w:r>
      <w:r>
        <w:t xml:space="preserve"> </w:t>
      </w:r>
      <w:r>
        <w:t xml:space="preserve">Developing hybrid algorithms that use neural networks to identify optimal computational paths in real-time, addressing limitations of traditional solvers when applied to Birmingham's traffic data streams.</w:t>
      </w:r>
    </w:p>
    <w:p>
      <w:pPr>
        <w:numPr>
          <w:ilvl w:val="0"/>
          <w:numId w:val="1002"/>
        </w:numPr>
        <w:pStyle w:val="Compact"/>
      </w:pPr>
      <w:r>
        <w:rPr>
          <w:bCs/>
          <w:b/>
        </w:rPr>
        <w:t xml:space="preserve">Interdisciplinary Validation Protocols:</w:t>
      </w:r>
      <w:r>
        <w:t xml:space="preserve"> </w:t>
      </w:r>
      <w:r>
        <w:t xml:space="preserve">Collaborating with the Birmingham City Council's Smart City Initiative and local healthcare providers (e.g., University Hospitals Birmingham) to test models against live datasets—ensuring immediate relevance to United Kingdom municipal priorities.</w:t>
      </w:r>
    </w:p>
    <w:bookmarkEnd w:id="23"/>
    <w:bookmarkStart w:id="24" w:name="X7a3e220122f35b93219317a1164456f84c2558a"/>
    <w:p>
      <w:pPr>
        <w:pStyle w:val="Heading2"/>
      </w:pPr>
      <w:r>
        <w:t xml:space="preserve">Why United Kingdom Birmingham? The Strategic Advantage</w:t>
      </w:r>
    </w:p>
    <w:p>
      <w:pPr>
        <w:pStyle w:val="FirstParagraph"/>
      </w:pPr>
      <w:r>
        <w:t xml:space="preserve">Birmingham is not merely a location for this research—it is the essential proving ground. The city's unique characteristics create an ideal real-world laboratory:</w:t>
      </w:r>
    </w:p>
    <w:p>
      <w:pPr>
        <w:numPr>
          <w:ilvl w:val="0"/>
          <w:numId w:val="1003"/>
        </w:numPr>
        <w:pStyle w:val="Compact"/>
      </w:pPr>
      <w:r>
        <w:rPr>
          <w:bCs/>
          <w:b/>
        </w:rPr>
        <w:t xml:space="preserve">Diverse Urban Complexity:</w:t>
      </w:r>
      <w:r>
        <w:t xml:space="preserve"> </w:t>
      </w:r>
      <w:r>
        <w:t xml:space="preserve">As a global city with significant population density, industrial heritage, and ongoing regeneration projects (e.g., HS2 infrastructure), Birmingham presents unparalleled data richness.</w:t>
      </w:r>
    </w:p>
    <w:p>
      <w:pPr>
        <w:numPr>
          <w:ilvl w:val="0"/>
          <w:numId w:val="1003"/>
        </w:numPr>
        <w:pStyle w:val="Compact"/>
      </w:pPr>
      <w:r>
        <w:rPr>
          <w:bCs/>
          <w:b/>
        </w:rPr>
        <w:t xml:space="preserve">Industry-Academia Synergy:</w:t>
      </w:r>
      <w:r>
        <w:t xml:space="preserve"> </w:t>
      </w:r>
      <w:r>
        <w:t xml:space="preserve">Proximity to companies like Jaguar Land Rover (developing autonomous vehicles) and Rolls-Royce (advanced energy systems) enables direct application of research outputs within the United Kingdom's industrial landscape.</w:t>
      </w:r>
    </w:p>
    <w:p>
      <w:pPr>
        <w:numPr>
          <w:ilvl w:val="0"/>
          <w:numId w:val="1003"/>
        </w:numPr>
        <w:pStyle w:val="Compact"/>
      </w:pPr>
      <w:r>
        <w:rPr>
          <w:bCs/>
          <w:b/>
        </w:rPr>
        <w:t xml:space="preserve">Policy-Relevant Environment:</w:t>
      </w:r>
      <w:r>
        <w:t xml:space="preserve"> </w:t>
      </w:r>
      <w:r>
        <w:t xml:space="preserve">Birmingham's commitment to becoming a carbon-neutral city by 2030 creates an urgent need for optimized energy models—a perfect test case for AMMF.</w:t>
      </w:r>
    </w:p>
    <w:p>
      <w:pPr>
        <w:pStyle w:val="FirstParagraph"/>
      </w:pPr>
      <w:r>
        <w:t xml:space="preserve">This research will not exist in theoretical isolation but will actively contribute to Birmingham's strategic development goals, embodying the Mathematician’s role as both a theorist and societal catalyst.</w:t>
      </w:r>
    </w:p>
    <w:bookmarkEnd w:id="24"/>
    <w:bookmarkStart w:id="25" w:name="expected-contributions"/>
    <w:p>
      <w:pPr>
        <w:pStyle w:val="Heading2"/>
      </w:pPr>
      <w:r>
        <w:t xml:space="preserve">Expected Contributions</w:t>
      </w:r>
    </w:p>
    <w:p>
      <w:pPr>
        <w:pStyle w:val="FirstParagraph"/>
      </w:pPr>
      <w:r>
        <w:t xml:space="preserve">This thesis promises three transformative contributions:</w:t>
      </w:r>
    </w:p>
    <w:p>
      <w:pPr>
        <w:numPr>
          <w:ilvl w:val="0"/>
          <w:numId w:val="1004"/>
        </w:numPr>
        <w:pStyle w:val="Compact"/>
      </w:pPr>
      <w:r>
        <w:rPr>
          <w:bCs/>
          <w:b/>
        </w:rPr>
        <w:t xml:space="preserve">Theoretical:</w:t>
      </w:r>
      <w:r>
        <w:t xml:space="preserve"> </w:t>
      </w:r>
      <w:r>
        <w:t xml:space="preserve">A new class of "adaptive multiscale" algorithms that reconcile continuous mathematics with discrete computational realities—published in top journals like</w:t>
      </w:r>
      <w:r>
        <w:t xml:space="preserve"> </w:t>
      </w:r>
      <w:r>
        <w:rPr>
          <w:iCs/>
          <w:i/>
        </w:rPr>
        <w:t xml:space="preserve">SIAM Journal on Applied Mathematics</w:t>
      </w:r>
      <w:r>
        <w:t xml:space="preserve">.</w:t>
      </w:r>
    </w:p>
    <w:p>
      <w:pPr>
        <w:numPr>
          <w:ilvl w:val="0"/>
          <w:numId w:val="1004"/>
        </w:numPr>
        <w:pStyle w:val="Compact"/>
      </w:pPr>
      <w:r>
        <w:rPr>
          <w:bCs/>
          <w:b/>
        </w:rPr>
        <w:t xml:space="preserve">Practical:</w:t>
      </w:r>
      <w:r>
        <w:t xml:space="preserve"> </w:t>
      </w:r>
      <w:r>
        <w:t xml:space="preserve">Open-source software tools deployable by Birmingham City Council for optimizing emergency response routing and energy grid resilience, directly supporting the United Kingdom's Smart Cities program.</w:t>
      </w:r>
    </w:p>
    <w:p>
      <w:pPr>
        <w:numPr>
          <w:ilvl w:val="0"/>
          <w:numId w:val="1004"/>
        </w:numPr>
        <w:pStyle w:val="Compact"/>
      </w:pPr>
      <w:r>
        <w:rPr>
          <w:bCs/>
          <w:b/>
        </w:rPr>
        <w:t xml:space="preserve">Societal:</w:t>
      </w:r>
      <w:r>
        <w:t xml:space="preserve"> </w:t>
      </w:r>
      <w:r>
        <w:t xml:space="preserve">A framework for equitable resource allocation in urban planning, addressing Birmingham's socioeconomic disparities through data-driven policy recommendations—aligning with UKRI’s "People and Planet" agenda.</w:t>
      </w:r>
    </w:p>
    <w:bookmarkEnd w:id="25"/>
    <w:bookmarkStart w:id="26" w:name="timeline-and-resources"/>
    <w:p>
      <w:pPr>
        <w:pStyle w:val="Heading2"/>
      </w:pPr>
      <w:r>
        <w:t xml:space="preserve">Timeline and Resources</w:t>
      </w:r>
    </w:p>
    <w:p>
      <w:pPr>
        <w:pStyle w:val="FirstParagraph"/>
      </w:pPr>
      <w:r>
        <w:t xml:space="preserve">The four-year project leverages Birmingham's exceptional infrastructure:</w:t>
      </w:r>
    </w:p>
    <w:p>
      <w:pPr>
        <w:numPr>
          <w:ilvl w:val="0"/>
          <w:numId w:val="1005"/>
        </w:numPr>
        <w:pStyle w:val="Compact"/>
      </w:pPr>
      <w:r>
        <w:rPr>
          <w:bCs/>
          <w:b/>
        </w:rPr>
        <w:t xml:space="preserve">Year 1:</w:t>
      </w:r>
      <w:r>
        <w:t xml:space="preserve"> </w:t>
      </w:r>
      <w:r>
        <w:t xml:space="preserve">Theoretical development in collaboration with the University of Birmingham's School of Mathematics; access to ARCHER2 supercomputing facilities.</w:t>
      </w:r>
    </w:p>
    <w:p>
      <w:pPr>
        <w:numPr>
          <w:ilvl w:val="0"/>
          <w:numId w:val="1005"/>
        </w:numPr>
        <w:pStyle w:val="Compact"/>
      </w:pPr>
      <w:r>
        <w:rPr>
          <w:bCs/>
          <w:b/>
        </w:rPr>
        <w:t xml:space="preserve">Year 2:</w:t>
      </w:r>
      <w:r>
        <w:t xml:space="preserve"> </w:t>
      </w:r>
      <w:r>
        <w:t xml:space="preserve">Field testing with Birmingham City Council on traffic data from the city's 500+ IoT sensors; workshops with local industry partners.</w:t>
      </w:r>
    </w:p>
    <w:p>
      <w:pPr>
        <w:numPr>
          <w:ilvl w:val="0"/>
          <w:numId w:val="1005"/>
        </w:numPr>
        <w:pStyle w:val="Compact"/>
      </w:pPr>
      <w:r>
        <w:rPr>
          <w:bCs/>
          <w:b/>
        </w:rPr>
        <w:t xml:space="preserve">Year 3:</w:t>
      </w:r>
      <w:r>
        <w:t xml:space="preserve"> </w:t>
      </w:r>
      <w:r>
        <w:t xml:space="preserve">Integration of machine learning components; validation via healthcare data partnerships (e.g., University Hospitals Birmingham).</w:t>
      </w:r>
    </w:p>
    <w:p>
      <w:pPr>
        <w:numPr>
          <w:ilvl w:val="0"/>
          <w:numId w:val="1005"/>
        </w:numPr>
        <w:pStyle w:val="Compact"/>
      </w:pPr>
      <w:r>
        <w:rPr>
          <w:bCs/>
          <w:b/>
        </w:rPr>
        <w:t xml:space="preserve">Year 4:</w:t>
      </w:r>
      <w:r>
        <w:t xml:space="preserve"> </w:t>
      </w:r>
      <w:r>
        <w:t xml:space="preserve">Policy engagement, software deployment, and thesis completion.</w:t>
      </w:r>
    </w:p>
    <w:p>
      <w:pPr>
        <w:pStyle w:val="FirstParagraph"/>
      </w:pPr>
      <w:r>
        <w:t xml:space="preserve">The proposed budget includes £120,000 for computational resources and travel to UK industry sites—funded through a combination of EPSRC grant applications and Birmingham's Strategic Research Investment Fund. Crucially, the location in United Kingdom Birmingham ensures minimal logistical barriers to stakeholder collaboration.</w:t>
      </w:r>
    </w:p>
    <w:bookmarkEnd w:id="26"/>
    <w:bookmarkStart w:id="27" w:name="X030d001e386ac1533ef49a19019dde2984a2834"/>
    <w:p>
      <w:pPr>
        <w:pStyle w:val="Heading2"/>
      </w:pPr>
      <w:r>
        <w:t xml:space="preserve">Conclusion: The Mathematician as Urban Catalyst</w:t>
      </w:r>
    </w:p>
    <w:p>
      <w:pPr>
        <w:pStyle w:val="FirstParagraph"/>
      </w:pPr>
      <w:r>
        <w:t xml:space="preserve">This Thesis Proposal transcends conventional mathematical research by embedding the Mathematician within a living urban ecosystem. In United Kingdom Birmingham—where academic excellence meets tangible societal need—we position mathematics not as an abstract pursuit but as an active agent for sustainable transformation. This work responds to the UK's National AI Strategy and Birmingham City Council's "Future City" vision, ensuring that every theoretical advance has a clear pathway to impact. As a prospective Mathematician in this environment, I will contribute not only to mathematical knowledge but to making Birmingham—and by extension, the United Kingdom—a global benchmark for data-driven urban innovation. The success of this research would establish the University of Birmingham as an indispensable hub where mathematical rigor directly shapes the future of cities in the 21st century.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Frontiers in United Kingdom Birmingham</dc:title>
  <dc:creator/>
  <dc:language>en</dc:language>
  <cp:keywords/>
  <dcterms:created xsi:type="dcterms:W3CDTF">2026-07-21T06:53:27Z</dcterms:created>
  <dcterms:modified xsi:type="dcterms:W3CDTF">2026-07-21T06:53:27Z</dcterms:modified>
</cp:coreProperties>
</file>

<file path=docProps/custom.xml><?xml version="1.0" encoding="utf-8"?>
<Properties xmlns="http://schemas.openxmlformats.org/officeDocument/2006/custom-properties" xmlns:vt="http://schemas.openxmlformats.org/officeDocument/2006/docPropsVTypes"/>
</file>