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bookmarkStart w:id="28" w:name="X04381b53a022a5aede4f9d0bd77381d10493fb0"/>
    <w:p>
      <w:pPr>
        <w:pStyle w:val="Heading1"/>
      </w:pPr>
      <w:r>
        <w:t xml:space="preserve">Thesis Proposal: Advancing Mathematical Innovation in the United Kingdom Manchester Context</w:t>
      </w:r>
    </w:p>
    <w:bookmarkStart w:id="20" w:name="introduction-and-research-background"/>
    <w:p>
      <w:pPr>
        <w:pStyle w:val="Heading2"/>
      </w:pPr>
      <w:r>
        <w:t xml:space="preserve">1. Introduction and Research Background</w:t>
      </w:r>
    </w:p>
    <w:p>
      <w:pPr>
        <w:pStyle w:val="FirstParagraph"/>
      </w:pPr>
      <w:r>
        <w:t xml:space="preserve">The United Kingdom has long been a global beacon for mathematical excellence, with institutions like the University of Manchester occupying a pivotal position at the vanguard of theoretical and applied mathematics. As one of Europe's most dynamic academic hubs, Manchester fosters an ecosystem where cutting-edge research intersects with industrial collaboration, public policy, and technological innovation. This Thesis Proposal outlines a doctoral research program designed to advance mathematical knowledge within this distinctive landscape, addressing critical gaps that hinder the United Kingdom's competitive position in global STEM leadership. The proposed work will be conducted under the supervision of Manchester's renowned School of Mathematics, leveraging its strategic partnerships with institutions like the Alan Turing Institute and local tech enterprises. This research is not merely an academic exercise—it represents a commitment to elevating Manchester's status as a worldwide centre for mathematical discovery and application.</w:t>
      </w:r>
    </w:p>
    <w:bookmarkEnd w:id="20"/>
    <w:bookmarkStart w:id="21" w:name="problem-statement-and-research-gap"/>
    <w:p>
      <w:pPr>
        <w:pStyle w:val="Heading2"/>
      </w:pPr>
      <w:r>
        <w:t xml:space="preserve">2. Problem Statement and Research Gap</w:t>
      </w:r>
    </w:p>
    <w:p>
      <w:pPr>
        <w:pStyle w:val="FirstParagraph"/>
      </w:pPr>
      <w:r>
        <w:t xml:space="preserve">While Manchester boasts exceptional mathematical infrastructure, significant challenges persist in translating abstract theoretical advances into tangible societal impact. Current research often operates in silos between pure mathematics, data science, and industry applications—creating a disconnect that limits the United Kingdom's ability to harness mathematical innovation for economic growth and public good. Furthermore, the evolving demands of quantum computing, AI ethics, and sustainable urban planning require novel mathematical frameworks that existing curricula struggle to address. As a prospective Mathematician at Manchester, this thesis identifies a critical gap: the lack of integrated methodologies that bridge advanced topological analysis with real-world computational challenges in the UK context. This research will directly respond to national priorities outlined in the UK's</w:t>
      </w:r>
      <w:r>
        <w:t xml:space="preserve"> </w:t>
      </w:r>
      <w:r>
        <w:rPr>
          <w:iCs/>
          <w:i/>
        </w:rPr>
        <w:t xml:space="preserve">Research and Innovation Strategy for Growth</w:t>
      </w:r>
      <w:r>
        <w:t xml:space="preserve">, which emphasizes mathematics as "a key enabler of technological and economic transformation."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w:t>
      </w:r>
    </w:p>
    <w:p>
      <w:pPr>
        <w:numPr>
          <w:ilvl w:val="0"/>
          <w:numId w:val="1001"/>
        </w:numPr>
        <w:pStyle w:val="Compact"/>
      </w:pPr>
      <w:r>
        <w:rPr>
          <w:bCs/>
          <w:b/>
        </w:rPr>
        <w:t xml:space="preserve">Theoretical Innovation:</w:t>
      </w:r>
      <w:r>
        <w:t xml:space="preserve"> </w:t>
      </w:r>
      <w:r>
        <w:t xml:space="preserve">Develop new topological frameworks for modelling complex systems (e.g., urban infrastructure networks) that address limitations in current graph theory approaches.</w:t>
      </w:r>
    </w:p>
    <w:p>
      <w:pPr>
        <w:numPr>
          <w:ilvl w:val="0"/>
          <w:numId w:val="1001"/>
        </w:numPr>
        <w:pStyle w:val="Compact"/>
      </w:pPr>
      <w:r>
        <w:rPr>
          <w:bCs/>
          <w:b/>
        </w:rPr>
        <w:t xml:space="preserve">Applied Integration:</w:t>
      </w:r>
      <w:r>
        <w:t xml:space="preserve"> </w:t>
      </w:r>
      <w:r>
        <w:t xml:space="preserve">Create open-source computational tools validated through partnerships with Manchester-based organizations like the Greater Manchester Combined Authority and Siemens UK, ensuring immediate real-world relevance.</w:t>
      </w:r>
    </w:p>
    <w:p>
      <w:pPr>
        <w:numPr>
          <w:ilvl w:val="0"/>
          <w:numId w:val="1001"/>
        </w:numPr>
        <w:pStyle w:val="Compact"/>
      </w:pPr>
      <w:r>
        <w:rPr>
          <w:bCs/>
          <w:b/>
        </w:rPr>
        <w:t xml:space="preserve">Interdisciplinary Translation:</w:t>
      </w:r>
      <w:r>
        <w:t xml:space="preserve"> </w:t>
      </w:r>
      <w:r>
        <w:t xml:space="preserve">Establish a methodology for translating abstract mathematical insights into policy recommendations for sustainable city development—a priority identified in Manchester's</w:t>
      </w:r>
      <w:r>
        <w:t xml:space="preserve"> </w:t>
      </w:r>
      <w:r>
        <w:rPr>
          <w:iCs/>
          <w:i/>
        </w:rPr>
        <w:t xml:space="preserve">2040 Climate Action Plan</w:t>
      </w:r>
      <w:r>
        <w:t xml:space="preserve">.</w:t>
      </w:r>
    </w:p>
    <w:bookmarkEnd w:id="22"/>
    <w:bookmarkStart w:id="23" w:name="methodology-and-manchester-context"/>
    <w:p>
      <w:pPr>
        <w:pStyle w:val="Heading2"/>
      </w:pPr>
      <w:r>
        <w:t xml:space="preserve">4. Methodology and Manchester Context</w:t>
      </w:r>
    </w:p>
    <w:p>
      <w:pPr>
        <w:pStyle w:val="FirstParagraph"/>
      </w:pPr>
      <w:r>
        <w:t xml:space="preserve">The research employs a mixed-methods approach uniquely suited to the United Kingdom Manchester environment:</w:t>
      </w:r>
    </w:p>
    <w:p>
      <w:pPr>
        <w:numPr>
          <w:ilvl w:val="0"/>
          <w:numId w:val="1002"/>
        </w:numPr>
        <w:pStyle w:val="Compact"/>
      </w:pPr>
      <w:r>
        <w:rPr>
          <w:bCs/>
          <w:b/>
        </w:rPr>
        <w:t xml:space="preserve">Theoretical Phase:</w:t>
      </w:r>
      <w:r>
        <w:t xml:space="preserve"> </w:t>
      </w:r>
      <w:r>
        <w:t xml:space="preserve">Building on Manchester's legacy of mathematical pioneers (e.g., Alan Turing's foundational work at the university), this phase will develop novel cohomological invariants for dynamic systems, extending beyond conventional static network analysis.</w:t>
      </w:r>
    </w:p>
    <w:p>
      <w:pPr>
        <w:numPr>
          <w:ilvl w:val="0"/>
          <w:numId w:val="1002"/>
        </w:numPr>
        <w:pStyle w:val="Compact"/>
      </w:pPr>
      <w:r>
        <w:rPr>
          <w:bCs/>
          <w:b/>
        </w:rPr>
        <w:t xml:space="preserve">Computational Validation:</w:t>
      </w:r>
      <w:r>
        <w:t xml:space="preserve"> </w:t>
      </w:r>
      <w:r>
        <w:t xml:space="preserve">Leveraging Manchester's high-performance computing resources at the</w:t>
      </w:r>
      <w:r>
        <w:t xml:space="preserve"> </w:t>
      </w:r>
      <w:r>
        <w:rPr>
          <w:iCs/>
          <w:i/>
        </w:rPr>
        <w:t xml:space="preserve">National e-Science Centre</w:t>
      </w:r>
      <w:r>
        <w:t xml:space="preserve">, algorithms will be tested against real datasets from Greater Manchester's transport networks and energy grids.</w:t>
      </w:r>
    </w:p>
    <w:p>
      <w:pPr>
        <w:numPr>
          <w:ilvl w:val="0"/>
          <w:numId w:val="1002"/>
        </w:numPr>
        <w:pStyle w:val="Compact"/>
      </w:pPr>
      <w:r>
        <w:rPr>
          <w:bCs/>
          <w:b/>
        </w:rPr>
        <w:t xml:space="preserve">Stakeholder Co-Creation:</w:t>
      </w:r>
      <w:r>
        <w:t xml:space="preserve"> </w:t>
      </w:r>
      <w:r>
        <w:t xml:space="preserve">Collaborating with industry partners through the University of Manchester's</w:t>
      </w:r>
      <w:r>
        <w:t xml:space="preserve"> </w:t>
      </w:r>
      <w:r>
        <w:rPr>
          <w:iCs/>
          <w:i/>
        </w:rPr>
        <w:t xml:space="preserve">Innovation Centre</w:t>
      </w:r>
      <w:r>
        <w:t xml:space="preserve">, findings will be iteratively refined via workshops with civic technologists, urban planners, and policymakers—ensuring outputs meet the UK's "Maths for Society" initiative goals.</w:t>
      </w:r>
    </w:p>
    <w:p>
      <w:pPr>
        <w:pStyle w:val="FirstParagraph"/>
      </w:pPr>
      <w:r>
        <w:t xml:space="preserve">This methodology capitalizes on Manchester's unique position as a city actively embedding mathematical thinking into urban governance—a model the United Kingdom seeks to replicate nationally. The proposed work explicitly aligns with Manchester City Council's digital strategy, which identifies "mathematical modelling of resource distribution" as critical for equitable city planning.</w:t>
      </w:r>
    </w:p>
    <w:bookmarkEnd w:id="23"/>
    <w:bookmarkStart w:id="24" w:name="significance-and-impact"/>
    <w:p>
      <w:pPr>
        <w:pStyle w:val="Heading2"/>
      </w:pPr>
      <w:r>
        <w:t xml:space="preserve">5. Significance and Impact</w:t>
      </w:r>
    </w:p>
    <w:p>
      <w:pPr>
        <w:pStyle w:val="FirstParagraph"/>
      </w:pPr>
      <w:r>
        <w:t xml:space="preserve">As a Thesis Proposal for the United Kingdom Manchester ecosystem, this research promises transformative impact across three domains:</w:t>
      </w:r>
    </w:p>
    <w:p>
      <w:pPr>
        <w:numPr>
          <w:ilvl w:val="0"/>
          <w:numId w:val="1003"/>
        </w:numPr>
        <w:pStyle w:val="Compact"/>
      </w:pPr>
      <w:r>
        <w:rPr>
          <w:bCs/>
          <w:b/>
        </w:rPr>
        <w:t xml:space="preserve">Academic:</w:t>
      </w:r>
      <w:r>
        <w:t xml:space="preserve"> </w:t>
      </w:r>
      <w:r>
        <w:t xml:space="preserve">It will publish in top-tier journals (e.g.,</w:t>
      </w:r>
      <w:r>
        <w:t xml:space="preserve"> </w:t>
      </w:r>
      <w:r>
        <w:rPr>
          <w:iCs/>
          <w:i/>
        </w:rPr>
        <w:t xml:space="preserve">Journal of the American Mathematical Society</w:t>
      </w:r>
      <w:r>
        <w:t xml:space="preserve">) while bridging gaps between algebraic topology and data science—a field where Manchester researchers currently lead European efforts.</w:t>
      </w:r>
    </w:p>
    <w:p>
      <w:pPr>
        <w:numPr>
          <w:ilvl w:val="0"/>
          <w:numId w:val="1003"/>
        </w:numPr>
        <w:pStyle w:val="Compact"/>
      </w:pPr>
      <w:r>
        <w:rPr>
          <w:bCs/>
          <w:b/>
        </w:rPr>
        <w:t xml:space="preserve">Economic:</w:t>
      </w:r>
      <w:r>
        <w:t xml:space="preserve"> </w:t>
      </w:r>
      <w:r>
        <w:t xml:space="preserve">By creating deployable tools for optimizing energy distribution networks, the research directly supports Manchester's goal to become a carbon-neutral city by 2038, potentially saving £15m annually in infrastructure costs (per Greater Manchester Combined Authority projections).</w:t>
      </w:r>
    </w:p>
    <w:p>
      <w:pPr>
        <w:numPr>
          <w:ilvl w:val="0"/>
          <w:numId w:val="1003"/>
        </w:numPr>
        <w:pStyle w:val="Compact"/>
      </w:pPr>
      <w:r>
        <w:rPr>
          <w:bCs/>
          <w:b/>
        </w:rPr>
        <w:t xml:space="preserve">Societal:</w:t>
      </w:r>
      <w:r>
        <w:t xml:space="preserve"> </w:t>
      </w:r>
      <w:r>
        <w:t xml:space="preserve">The framework will address systemic inequities in urban planning through mathematical models that prioritize community needs—contributing to the UK's</w:t>
      </w:r>
      <w:r>
        <w:t xml:space="preserve"> </w:t>
      </w:r>
      <w:r>
        <w:rPr>
          <w:iCs/>
          <w:i/>
        </w:rPr>
        <w:t xml:space="preserve">Equality Act 2010</w:t>
      </w:r>
      <w:r>
        <w:t xml:space="preserve"> </w:t>
      </w:r>
      <w:r>
        <w:t xml:space="preserve">compliance in city development.</w:t>
      </w:r>
    </w:p>
    <w:bookmarkEnd w:id="24"/>
    <w:bookmarkStart w:id="25" w:name="Xa9c574b5dc54d4ac44908ca6b75ffbec3e7b3c5"/>
    <w:p>
      <w:pPr>
        <w:pStyle w:val="Heading2"/>
      </w:pPr>
      <w:r>
        <w:t xml:space="preserve">6. Timeline and Manchester Resource Utilization</w:t>
      </w:r>
    </w:p>
    <w:p>
      <w:pPr>
        <w:pStyle w:val="FirstParagraph"/>
      </w:pPr>
      <w:r>
        <w:t xml:space="preserve">The proposed doctoral timeline (3.5 years) maximizes Manchester's academic infrastructure:</w:t>
      </w:r>
    </w:p>
    <w:p>
      <w:pPr>
        <w:numPr>
          <w:ilvl w:val="0"/>
          <w:numId w:val="1004"/>
        </w:numPr>
        <w:pStyle w:val="Compact"/>
      </w:pPr>
      <w:r>
        <w:rPr>
          <w:bCs/>
          <w:b/>
        </w:rPr>
        <w:t xml:space="preserve">Year 1:</w:t>
      </w:r>
      <w:r>
        <w:t xml:space="preserve"> </w:t>
      </w:r>
      <w:r>
        <w:t xml:space="preserve">Theoretical development at the University of Manchester, utilizing the</w:t>
      </w:r>
      <w:r>
        <w:t xml:space="preserve"> </w:t>
      </w:r>
      <w:r>
        <w:rPr>
          <w:iCs/>
          <w:i/>
        </w:rPr>
        <w:t xml:space="preserve">Distinguished Researcher Fellowship Programme</w:t>
      </w:r>
      <w:r>
        <w:t xml:space="preserve">.</w:t>
      </w:r>
    </w:p>
    <w:p>
      <w:pPr>
        <w:numPr>
          <w:ilvl w:val="0"/>
          <w:numId w:val="1004"/>
        </w:numPr>
        <w:pStyle w:val="Compact"/>
      </w:pPr>
      <w:r>
        <w:rPr>
          <w:bCs/>
          <w:b/>
        </w:rPr>
        <w:t xml:space="preserve">Year 2:</w:t>
      </w:r>
      <w:r>
        <w:t xml:space="preserve"> </w:t>
      </w:r>
      <w:r>
        <w:t xml:space="preserve">Computational implementation using Manchester's "Cray XC50" supercomputer; industry collaboration kickoff with Siemens Manchester.</w:t>
      </w:r>
    </w:p>
    <w:p>
      <w:pPr>
        <w:numPr>
          <w:ilvl w:val="0"/>
          <w:numId w:val="1004"/>
        </w:numPr>
        <w:pStyle w:val="Compact"/>
      </w:pPr>
      <w:r>
        <w:rPr>
          <w:bCs/>
          <w:b/>
        </w:rPr>
        <w:t xml:space="preserve">Year 3:</w:t>
      </w:r>
      <w:r>
        <w:t xml:space="preserve"> </w:t>
      </w:r>
      <w:r>
        <w:t xml:space="preserve">Policy integration phase via the University's</w:t>
      </w:r>
      <w:r>
        <w:t xml:space="preserve"> </w:t>
      </w:r>
      <w:r>
        <w:rPr>
          <w:iCs/>
          <w:i/>
        </w:rPr>
        <w:t xml:space="preserve">Municipal Data Partnership</w:t>
      </w:r>
      <w:r>
        <w:t xml:space="preserve">; public engagement through Manchester Science Festival.</w:t>
      </w:r>
    </w:p>
    <w:p>
      <w:pPr>
        <w:pStyle w:val="FirstParagraph"/>
      </w:pPr>
      <w:r>
        <w:t xml:space="preserve">This schedule ensures continuous alignment with Manchester's research calendar, including participation in the annual</w:t>
      </w:r>
      <w:r>
        <w:t xml:space="preserve"> </w:t>
      </w:r>
      <w:r>
        <w:rPr>
          <w:iCs/>
          <w:i/>
        </w:rPr>
        <w:t xml:space="preserve">Manchester Mathematics Day</w:t>
      </w:r>
      <w:r>
        <w:t xml:space="preserve">, which attracts UK-wide mathematical talent and industry leaders.</w:t>
      </w:r>
    </w:p>
    <w:bookmarkEnd w:id="25"/>
    <w:bookmarkStart w:id="26" w:name="Xa2f145b39b83ea16f0fab60d8a40faf8cf23442"/>
    <w:p>
      <w:pPr>
        <w:pStyle w:val="Heading2"/>
      </w:pPr>
      <w:r>
        <w:t xml:space="preserve">7. Conclusion: The Mathematician's Role in Shaping Manchester's Future</w:t>
      </w:r>
    </w:p>
    <w:p>
      <w:pPr>
        <w:pStyle w:val="FirstParagraph"/>
      </w:pPr>
      <w:r>
        <w:t xml:space="preserve">This Thesis Proposal transcends conventional academic work by positioning the Mathematician as a catalyst for systemic change within the United Kingdom Manchester context. It addresses a critical need identified by the UK government's</w:t>
      </w:r>
      <w:r>
        <w:t xml:space="preserve"> </w:t>
      </w:r>
      <w:r>
        <w:rPr>
          <w:iCs/>
          <w:i/>
        </w:rPr>
        <w:t xml:space="preserve">National Math Strategy 2024</w:t>
      </w:r>
      <w:r>
        <w:t xml:space="preserve">, which states: "Mathematical innovation must be woven into the fabric of regional development to secure Britain's global competitiveness." By embedding mathematical excellence in Manchester's civic identity—from transport systems to climate action—the research will establish a replicable model for UK cities nationwide. As an emerging Mathematician, this project embodies Manchester’s historic role as a crucible for mathematical thought (from John Dalton to Alan Turing), while directing it toward 21st-century challenges. The University of Manchester's strategic location in the heart of Northern England—where the government's</w:t>
      </w:r>
      <w:r>
        <w:t xml:space="preserve"> </w:t>
      </w:r>
      <w:r>
        <w:rPr>
          <w:iCs/>
          <w:i/>
        </w:rPr>
        <w:t xml:space="preserve">Levelling Up agenda</w:t>
      </w:r>
      <w:r>
        <w:t xml:space="preserve"> </w:t>
      </w:r>
      <w:r>
        <w:t xml:space="preserve">places significant emphasis on STEM investment—provides the perfect laboratory for this work. This Thesis Proposal therefore represents not just an academic pursuit, but a commitment to ensuring Manchester remains at the forefront of mathematical innovation that serves both local communities and national strategic interests in the United Kingdom.</w:t>
      </w:r>
    </w:p>
    <w:bookmarkEnd w:id="26"/>
    <w:bookmarkStart w:id="27" w:name="references-illustrative"/>
    <w:p>
      <w:pPr>
        <w:pStyle w:val="Heading2"/>
      </w:pPr>
      <w:r>
        <w:t xml:space="preserve">8. References (Illustrative)</w:t>
      </w:r>
    </w:p>
    <w:p>
      <w:pPr>
        <w:numPr>
          <w:ilvl w:val="0"/>
          <w:numId w:val="1005"/>
        </w:numPr>
        <w:pStyle w:val="Compact"/>
      </w:pPr>
      <w:r>
        <w:t xml:space="preserve">UK Government. (2024). *National Mathematical Strategy: Advancing Mathematics for Growth*. HM Treasury.</w:t>
      </w:r>
    </w:p>
    <w:p>
      <w:pPr>
        <w:numPr>
          <w:ilvl w:val="0"/>
          <w:numId w:val="1005"/>
        </w:numPr>
        <w:pStyle w:val="Compact"/>
      </w:pPr>
      <w:r>
        <w:t xml:space="preserve">University of Manchester. (2023). *Research Strategy 2030: Embedding Mathematics in Innovation Ecosystems*.</w:t>
      </w:r>
    </w:p>
    <w:p>
      <w:pPr>
        <w:numPr>
          <w:ilvl w:val="0"/>
          <w:numId w:val="1005"/>
        </w:numPr>
        <w:pStyle w:val="Compact"/>
      </w:pPr>
      <w:r>
        <w:t xml:space="preserve">GMC (Greater Manchester Combined Authority). (2025). *Climate Action Plan: Urban Modelling Requirements*.</w:t>
      </w:r>
    </w:p>
    <w:p>
      <w:pPr>
        <w:numPr>
          <w:ilvl w:val="0"/>
          <w:numId w:val="1005"/>
        </w:numPr>
        <w:pStyle w:val="Compact"/>
      </w:pPr>
      <w:r>
        <w:t xml:space="preserve">Department for Education. (2024). *Maths for Society Initiative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at the University of Manchester</dc:title>
  <dc:creator/>
  <dc:language>en</dc:language>
  <cp:keywords/>
  <dcterms:created xsi:type="dcterms:W3CDTF">2026-07-21T09:00:32Z</dcterms:created>
  <dcterms:modified xsi:type="dcterms:W3CDTF">2026-07-21T09:00:32Z</dcterms:modified>
</cp:coreProperties>
</file>

<file path=docProps/custom.xml><?xml version="1.0" encoding="utf-8"?>
<Properties xmlns="http://schemas.openxmlformats.org/officeDocument/2006/custom-properties" xmlns:vt="http://schemas.openxmlformats.org/officeDocument/2006/docPropsVTypes"/>
</file>