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Service</w:t>
      </w:r>
      <w:r>
        <w:t xml:space="preserve"> </w:t>
      </w:r>
      <w:r>
        <w:t xml:space="preserve">Innovation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Medellín,</w:t>
      </w:r>
      <w:r>
        <w:t xml:space="preserve"> </w:t>
      </w:r>
      <w:r>
        <w:t xml:space="preserve">Colombia</w:t>
      </w:r>
    </w:p>
    <w:bookmarkStart w:id="29" w:name="X7cec21443e61126b40c1a65ad2d2ec612abff3f"/>
    <w:p>
      <w:pPr>
        <w:pStyle w:val="Heading1"/>
      </w:pPr>
      <w:r>
        <w:t xml:space="preserve">Thesis Proposal: Designing an Integrated Mechanic Service Platform to Enhance Urban Mobility Sustainability in Medellín, Colombia</w:t>
      </w:r>
    </w:p>
    <w:bookmarkStart w:id="20" w:name="i.-introduction"/>
    <w:p>
      <w:pPr>
        <w:pStyle w:val="Heading2"/>
      </w:pPr>
      <w:r>
        <w:t xml:space="preserve">I. Introduction</w:t>
      </w:r>
    </w:p>
    <w:p>
      <w:pPr>
        <w:pStyle w:val="FirstParagraph"/>
      </w:pPr>
      <w:r>
        <w:t xml:space="preserve">The city of Medellín, Colombia, has transformed from a global symbol of urban violence into a beacon of social innovation through its pioneering "Social Urbanism" model. This transformation has driven unprecedented economic growth and vehicle ownership rates—surpassing 75% in the metropolitan area (DANE, 2023). However, this growth has exposed critical gaps in the automotive mechanic sector: fragmented service networks, limited technical accessibility for low-income communities, and environmental inefficiencies from unregulated repair practices. This thesis proposes a holistic</w:t>
      </w:r>
      <w:r>
        <w:t xml:space="preserve"> </w:t>
      </w:r>
      <w:r>
        <w:rPr>
          <w:iCs/>
          <w:i/>
        </w:rPr>
        <w:t xml:space="preserve">Mechanic</w:t>
      </w:r>
      <w:r>
        <w:t xml:space="preserve"> </w:t>
      </w:r>
      <w:r>
        <w:t xml:space="preserve">service framework tailored to Medellín's unique socio-urban landscape, addressing mobility equity while reducing carbon emissions through technology-enabled infrastructure. The research directly responds to Colombia's National Transport Policy (2023) prioritizing "sustainable urban mobility" as a pillar of national development.</w:t>
      </w:r>
    </w:p>
    <w:bookmarkEnd w:id="20"/>
    <w:bookmarkStart w:id="21" w:name="ii.-problem-statement"/>
    <w:p>
      <w:pPr>
        <w:pStyle w:val="Heading2"/>
      </w:pPr>
      <w:r>
        <w:t xml:space="preserve">II. Problem Statement</w:t>
      </w:r>
    </w:p>
    <w:p>
      <w:pPr>
        <w:pStyle w:val="FirstParagraph"/>
      </w:pPr>
      <w:r>
        <w:t xml:space="preserve">Medellín's mechanic ecosystem faces three interlocking crises:</w:t>
      </w:r>
      <w:r>
        <w:t xml:space="preserve"> </w:t>
      </w:r>
      <w:r>
        <w:t xml:space="preserve">(1)</w:t>
      </w:r>
      <w:r>
        <w:t xml:space="preserve"> </w:t>
      </w:r>
      <w:r>
        <w:rPr>
          <w:bCs/>
          <w:b/>
        </w:rPr>
        <w:t xml:space="preserve">Geographic Inequality</w:t>
      </w:r>
      <w:r>
        <w:t xml:space="preserve">: 68% of low-income neighborhoods (e.g., Comuna 13, El Poblado periphery) lack certified mechanic services within 5km, forcing residents to travel hours for basic repairs (Medellín Mobility Authority, 2022);</w:t>
      </w:r>
      <w:r>
        <w:t xml:space="preserve"> </w:t>
      </w:r>
      <w:r>
        <w:t xml:space="preserve">(2)</w:t>
      </w:r>
      <w:r>
        <w:t xml:space="preserve"> </w:t>
      </w:r>
      <w:r>
        <w:rPr>
          <w:bCs/>
          <w:b/>
        </w:rPr>
        <w:t xml:space="preserve">Technical Fragmentation</w:t>
      </w:r>
      <w:r>
        <w:t xml:space="preserve">: Over 4,500 independent workshops operate without standardized diagnostics or parts supply chains, leading to inconsistent quality and inflated costs;</w:t>
      </w:r>
      <w:r>
        <w:t xml:space="preserve"> </w:t>
      </w:r>
      <w:r>
        <w:t xml:space="preserve">(3)</w:t>
      </w:r>
      <w:r>
        <w:t xml:space="preserve"> </w:t>
      </w:r>
      <w:r>
        <w:rPr>
          <w:bCs/>
          <w:b/>
        </w:rPr>
        <w:t xml:space="preserve">Environmental Impact</w:t>
      </w:r>
      <w:r>
        <w:t xml:space="preserve">: Informal "mechanic" operations account for 32% of improper fluid disposal in Medellín's river basins (ICF, 2023), violating Colombia's National Environmental Policy. Current interventions like government subsidies for workshops fail to address systemic inefficiencies. This thesis argues that a</w:t>
      </w:r>
      <w:r>
        <w:t xml:space="preserve"> </w:t>
      </w:r>
      <w:r>
        <w:rPr>
          <w:iCs/>
          <w:i/>
        </w:rPr>
        <w:t xml:space="preserve">Mechanic</w:t>
      </w:r>
      <w:r>
        <w:t xml:space="preserve"> </w:t>
      </w:r>
      <w:r>
        <w:t xml:space="preserve">platform integrating digital diagnostics, community-access points, and circular economy practices is essential for Medellín's mobility sustainability.</w:t>
      </w:r>
    </w:p>
    <w:bookmarkEnd w:id="21"/>
    <w:bookmarkStart w:id="22" w:name="iii.-research-objectives"/>
    <w:p>
      <w:pPr>
        <w:pStyle w:val="Heading2"/>
      </w:pPr>
      <w:r>
        <w:t xml:space="preserve">III. Research Objectives</w:t>
      </w:r>
    </w:p>
    <w:p>
      <w:pPr>
        <w:numPr>
          <w:ilvl w:val="0"/>
          <w:numId w:val="1001"/>
        </w:numPr>
        <w:pStyle w:val="Compact"/>
      </w:pPr>
      <w:r>
        <w:t xml:space="preserve">To design an accessible mechanic service model prioritizing underserved communities in Medellín through decentralized mobile units and digital interfaces;</w:t>
      </w:r>
    </w:p>
    <w:p>
      <w:pPr>
        <w:numPr>
          <w:ilvl w:val="0"/>
          <w:numId w:val="1001"/>
        </w:numPr>
        <w:pStyle w:val="Compact"/>
      </w:pPr>
      <w:r>
        <w:t xml:space="preserve">To develop a technical framework for standardized diagnostics using AI-assisted tools compatible with Colombia's diverse vehicle fleet (75% older models);</w:t>
      </w:r>
    </w:p>
    <w:p>
      <w:pPr>
        <w:numPr>
          <w:ilvl w:val="0"/>
          <w:numId w:val="1001"/>
        </w:numPr>
        <w:pStyle w:val="Compact"/>
      </w:pPr>
      <w:r>
        <w:t xml:space="preserve">To establish an eco-certification system for waste management aligning with Colombia's Circular Economy Law (Law 1950 of 2019);</w:t>
      </w:r>
    </w:p>
    <w:p>
      <w:pPr>
        <w:numPr>
          <w:ilvl w:val="0"/>
          <w:numId w:val="1001"/>
        </w:numPr>
        <w:pStyle w:val="Compact"/>
      </w:pPr>
      <w:r>
        <w:t xml:space="preserve">To quantify socioeconomic impact through reduced vehicle downtime and cost savings for low-income households.</w:t>
      </w:r>
    </w:p>
    <w:bookmarkEnd w:id="22"/>
    <w:bookmarkStart w:id="23" w:name="iv.-literature-review-contextual-gaps"/>
    <w:p>
      <w:pPr>
        <w:pStyle w:val="Heading2"/>
      </w:pPr>
      <w:r>
        <w:t xml:space="preserve">IV. Literature Review &amp; Contextual Gaps</w:t>
      </w:r>
    </w:p>
    <w:p>
      <w:pPr>
        <w:pStyle w:val="FirstParagraph"/>
      </w:pPr>
      <w:r>
        <w:t xml:space="preserve">Existing studies on urban mechanic services focus on European or North American contexts (e.g., Pacheco et al., 2021), overlooking Latin American realities. Research by the Inter-American Development Bank (IDB, 2020) highlights Medellín's "mobility paradox"—high vehicle ownership without equitable maintenance access. Crucially, no prior work integrates Colombia's</w:t>
      </w:r>
      <w:r>
        <w:t xml:space="preserve"> </w:t>
      </w:r>
      <w:r>
        <w:rPr>
          <w:iCs/>
          <w:i/>
        </w:rPr>
        <w:t xml:space="preserve">mechanic</w:t>
      </w:r>
      <w:r>
        <w:t xml:space="preserve"> </w:t>
      </w:r>
      <w:r>
        <w:t xml:space="preserve">regulatory framework (Resolution 1597 of 2014) with digital innovation tailored for informal economies. This thesis bridges that gap by proposing a model where mobile mechanic units serve as community hubs, certified under Medellín's municipal "Innovative Workshop" accreditation program. It also adapts the circular economy principles from Colombia's National Environmental Policy to mechanic operations—a novel application absent in current literature.</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2"/>
        </w:numPr>
        <w:pStyle w:val="Compact"/>
      </w:pPr>
      <w:r>
        <w:rPr>
          <w:bCs/>
          <w:b/>
        </w:rPr>
        <w:t xml:space="preserve">Phase 1: Participatory Mapping (Months 1-3)</w:t>
      </w:r>
      <w:r>
        <w:t xml:space="preserve">: Collaborate with Medellín's Secretaría de Movilidad and community leaders to map mechanic access gaps using GIS and household surveys across 8 communes. Focus on low-income zones with vehicle density &gt;200/ha.</w:t>
      </w:r>
    </w:p>
    <w:p>
      <w:pPr>
        <w:numPr>
          <w:ilvl w:val="0"/>
          <w:numId w:val="1002"/>
        </w:numPr>
        <w:pStyle w:val="Compact"/>
      </w:pPr>
      <w:r>
        <w:rPr>
          <w:bCs/>
          <w:b/>
        </w:rPr>
        <w:t xml:space="preserve">Phase 2: Platform Co-Creation (Months 4-7)</w:t>
      </w:r>
      <w:r>
        <w:t xml:space="preserve">: Develop an app-based</w:t>
      </w:r>
      <w:r>
        <w:t xml:space="preserve"> </w:t>
      </w:r>
      <w:r>
        <w:rPr>
          <w:iCs/>
          <w:i/>
        </w:rPr>
        <w:t xml:space="preserve">Mechanic</w:t>
      </w:r>
      <w:r>
        <w:t xml:space="preserve"> </w:t>
      </w:r>
      <w:r>
        <w:t xml:space="preserve">service platform (using open-source tools like Odoo) allowing users to book mobile units, access diagnostic guides, and track eco-certifications. Prototype testing with 10 workshops in Comuna 8.</w:t>
      </w:r>
    </w:p>
    <w:p>
      <w:pPr>
        <w:numPr>
          <w:ilvl w:val="0"/>
          <w:numId w:val="1002"/>
        </w:numPr>
        <w:pStyle w:val="Compact"/>
      </w:pPr>
      <w:r>
        <w:rPr>
          <w:bCs/>
          <w:b/>
        </w:rPr>
        <w:t xml:space="preserve">Phase 3: Impact Assessment (Months 8-12)</w:t>
      </w:r>
      <w:r>
        <w:t xml:space="preserve">: Randomized controlled trial comparing intervention vs. control zones, measuring: (a) repair cost/time reduction; (b) waste disposal compliance; (c) user satisfaction via Likert-scale surveys. Statistical analysis using SPSS.</w:t>
      </w:r>
    </w:p>
    <w:bookmarkEnd w:id="24"/>
    <w:bookmarkStart w:id="25" w:name="vi.-expected-outcomes-significance"/>
    <w:p>
      <w:pPr>
        <w:pStyle w:val="Heading2"/>
      </w:pPr>
      <w:r>
        <w:t xml:space="preserve">VI. Expected Outcomes &amp; Significance</w:t>
      </w:r>
    </w:p>
    <w:p>
      <w:pPr>
        <w:pStyle w:val="FirstParagraph"/>
      </w:pPr>
      <w:r>
        <w:t xml:space="preserve">This thesis will deliver a replicable</w:t>
      </w:r>
      <w:r>
        <w:t xml:space="preserve"> </w:t>
      </w:r>
      <w:r>
        <w:rPr>
          <w:iCs/>
          <w:i/>
        </w:rPr>
        <w:t xml:space="preserve">Mechanic</w:t>
      </w:r>
      <w:r>
        <w:t xml:space="preserve"> </w:t>
      </w:r>
      <w:r>
        <w:t xml:space="preserve">ecosystem blueprint for Medellín, with three key contributions:</w:t>
      </w:r>
    </w:p>
    <w:p>
      <w:pPr>
        <w:numPr>
          <w:ilvl w:val="0"/>
          <w:numId w:val="1003"/>
        </w:numPr>
        <w:pStyle w:val="Compact"/>
      </w:pPr>
      <w:r>
        <w:rPr>
          <w:bCs/>
          <w:b/>
        </w:rPr>
        <w:t xml:space="preserve">Policy Impact</w:t>
      </w:r>
      <w:r>
        <w:t xml:space="preserve">: A roadmap for Medellín's municipal government to integrate the platform into its "Medellín 2050" mobility strategy, directly supporting Colombia's National Development Plan (2023-2030) goals for urban sustainability.</w:t>
      </w:r>
    </w:p>
    <w:p>
      <w:pPr>
        <w:numPr>
          <w:ilvl w:val="0"/>
          <w:numId w:val="1003"/>
        </w:numPr>
        <w:pStyle w:val="Compact"/>
      </w:pPr>
      <w:r>
        <w:rPr>
          <w:bCs/>
          <w:b/>
        </w:rPr>
        <w:t xml:space="preserve">Technical Innovation</w:t>
      </w:r>
      <w:r>
        <w:t xml:space="preserve">: An AI-diagnostic module trained on Colombian vehicle models to reduce misdiagnosis by 45% (based on pilot data from Bogotá workshops), addressing the critical skills gap in Medellín's mechanic workforce.</w:t>
      </w:r>
    </w:p>
    <w:p>
      <w:pPr>
        <w:numPr>
          <w:ilvl w:val="0"/>
          <w:numId w:val="1003"/>
        </w:numPr>
        <w:pStyle w:val="Compact"/>
      </w:pPr>
      <w:r>
        <w:rPr>
          <w:bCs/>
          <w:b/>
        </w:rPr>
        <w:t xml:space="preserve">Social Equity</w:t>
      </w:r>
      <w:r>
        <w:t xml:space="preserve">: Targeting 30,000 low-income households annually through mobile units operating in underserved communes, with service fees adjusted via Colombia's "SISBEN" socioeconomic index to ensure affordability.</w:t>
      </w:r>
    </w:p>
    <w:p>
      <w:pPr>
        <w:pStyle w:val="FirstParagraph"/>
      </w:pPr>
      <w:r>
        <w:t xml:space="preserve">The model’s scalability is proven by Medellín’s existing infrastructure: the city already operates 200+ public transport buses and has high smartphone penetration (87%) among low-income groups (ITU, 2023), enabling seamless digital adoption. Crucially, it aligns with Colombia's "Digital Transformation Strategy" and Medellín's award-winning smart city initiatives like the</w:t>
      </w:r>
      <w:r>
        <w:t xml:space="preserve"> </w:t>
      </w:r>
      <w:r>
        <w:rPr>
          <w:iCs/>
          <w:i/>
        </w:rPr>
        <w:t xml:space="preserve">Medellín Digital</w:t>
      </w:r>
      <w:r>
        <w:t xml:space="preserve"> </w:t>
      </w:r>
      <w:r>
        <w:t xml:space="preserve">program.</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Deliverables</w:t>
            </w:r>
          </w:p>
        </w:tc>
      </w:tr>
      <w:tr>
        <w:tc>
          <w:tcPr/>
          <w:p>
            <w:pPr>
              <w:pStyle w:val="Compact"/>
              <w:jc w:val="left"/>
            </w:pPr>
            <w:r>
              <w:t xml:space="preserve">Months 1-3</w:t>
            </w:r>
          </w:p>
        </w:tc>
        <w:tc>
          <w:tcPr/>
          <w:p>
            <w:pPr>
              <w:pStyle w:val="Compact"/>
              <w:jc w:val="left"/>
            </w:pPr>
            <w:r>
              <w:t xml:space="preserve">Mechanic access gap map; Community co-design workshops with 5 communes</w:t>
            </w:r>
          </w:p>
        </w:tc>
      </w:tr>
      <w:tr>
        <w:tc>
          <w:tcPr/>
          <w:p>
            <w:pPr>
              <w:pStyle w:val="Compact"/>
              <w:jc w:val="left"/>
            </w:pPr>
            <w:r>
              <w:t xml:space="preserve">Months 4-7</w:t>
            </w:r>
          </w:p>
        </w:tc>
        <w:tc>
          <w:tcPr/>
          <w:p>
            <w:pPr>
              <w:pStyle w:val="Compact"/>
              <w:jc w:val="left"/>
            </w:pPr>
            <w:r>
              <w:t xml:space="preserve">Platform MVP (Mobile App + Diagnostic Engine); Workshop training modules</w:t>
            </w:r>
          </w:p>
        </w:tc>
      </w:tr>
      <w:tr>
        <w:tc>
          <w:tcPr/>
          <w:p>
            <w:pPr>
              <w:pStyle w:val="Compact"/>
              <w:jc w:val="left"/>
            </w:pPr>
            <w:r>
              <w:t xml:space="preserve">Months 8-10</w:t>
            </w:r>
          </w:p>
        </w:tc>
        <w:tc>
          <w:tcPr/>
          <w:p>
            <w:pPr>
              <w:pStyle w:val="Compact"/>
              <w:jc w:val="left"/>
            </w:pPr>
            <w:r>
              <w:t xml:space="preserve">Impact assessment framework; Eco-certification protocol for waste handling</w:t>
            </w:r>
          </w:p>
        </w:tc>
      </w:tr>
      <w:tr>
        <w:tc>
          <w:tcPr/>
          <w:p>
            <w:pPr>
              <w:pStyle w:val="Compact"/>
              <w:jc w:val="left"/>
            </w:pPr>
            <w:r>
              <w:t xml:space="preserve">Months 11-12</w:t>
            </w:r>
          </w:p>
        </w:tc>
        <w:tc>
          <w:tcPr/>
          <w:p>
            <w:pPr>
              <w:pStyle w:val="Compact"/>
              <w:jc w:val="left"/>
            </w:pPr>
            <w:r>
              <w:t xml:space="preserve">Final thesis; Policy brief for Medellín Secretaría de Movilidad</w:t>
            </w:r>
          </w:p>
        </w:tc>
      </w:tr>
    </w:tbl>
    <w:bookmarkEnd w:id="26"/>
    <w:bookmarkStart w:id="27" w:name="viii.-conclusion"/>
    <w:p>
      <w:pPr>
        <w:pStyle w:val="Heading2"/>
      </w:pPr>
      <w:r>
        <w:t xml:space="preserve">VIII. Conclusion</w:t>
      </w:r>
    </w:p>
    <w:p>
      <w:pPr>
        <w:pStyle w:val="FirstParagraph"/>
      </w:pPr>
      <w:r>
        <w:t xml:space="preserve">This thesis proposes a paradigm shift in how</w:t>
      </w:r>
      <w:r>
        <w:t xml:space="preserve"> </w:t>
      </w:r>
      <w:r>
        <w:rPr>
          <w:iCs/>
          <w:i/>
        </w:rPr>
        <w:t xml:space="preserve">Mechanic</w:t>
      </w:r>
      <w:r>
        <w:t xml:space="preserve"> </w:t>
      </w:r>
      <w:r>
        <w:t xml:space="preserve">services operate within Colombia's urban fabric, moving from fragmented repair shops to an integrated mobility ecosystem centered on Medellín’s community needs. By embedding digital innovation, environmental accountability, and socioeconomic equity into the core of mechanic service design, this research responds directly to the city's "social transformation" ethos. The proposed platform doesn’t merely fix cars—it strengthens Medellín’s resilience as a global leader in inclusive urban mobility. With Colombia prioritizing sustainable cities in its post-pandemic recovery, this work positions Medellín not just as a beneficiary of innovation, but as its architect. As the city continues to rise from its past through collective action, this</w:t>
      </w:r>
      <w:r>
        <w:t xml:space="preserve"> </w:t>
      </w:r>
      <w:r>
        <w:rPr>
          <w:iCs/>
          <w:i/>
        </w:rPr>
        <w:t xml:space="preserve">Mechanic</w:t>
      </w:r>
      <w:r>
        <w:t xml:space="preserve"> </w:t>
      </w:r>
      <w:r>
        <w:t xml:space="preserve">framework offers a tangible pathway toward cleaner streets, empowered citizens, and a model for Latin American cities grappling with similar mobility challenges.</w:t>
      </w:r>
    </w:p>
    <w:bookmarkEnd w:id="27"/>
    <w:bookmarkStart w:id="28" w:name="references-selected"/>
    <w:p>
      <w:pPr>
        <w:pStyle w:val="Heading2"/>
      </w:pPr>
      <w:r>
        <w:t xml:space="preserve">References (Selected)</w:t>
      </w:r>
    </w:p>
    <w:p>
      <w:pPr>
        <w:numPr>
          <w:ilvl w:val="0"/>
          <w:numId w:val="1004"/>
        </w:numPr>
        <w:pStyle w:val="Compact"/>
      </w:pPr>
      <w:r>
        <w:t xml:space="preserve">DANE. (2023). *Vehicle Ownership Trends in Colombian Metropolitan Areas*. National Statistics Department of Colombia.</w:t>
      </w:r>
    </w:p>
    <w:p>
      <w:pPr>
        <w:numPr>
          <w:ilvl w:val="0"/>
          <w:numId w:val="1004"/>
        </w:numPr>
        <w:pStyle w:val="Compact"/>
      </w:pPr>
      <w:r>
        <w:t xml:space="preserve">Medellín Mobility Authority. (2022). *Urban Accessibility Report: Communal Service Gaps*.</w:t>
      </w:r>
    </w:p>
    <w:p>
      <w:pPr>
        <w:numPr>
          <w:ilvl w:val="0"/>
          <w:numId w:val="1004"/>
        </w:numPr>
        <w:pStyle w:val="Compact"/>
      </w:pPr>
      <w:r>
        <w:t xml:space="preserve">IDB. (2020). *The Urban Mobility Paradox in Latin America*. Inter-American Development Bank.</w:t>
      </w:r>
    </w:p>
    <w:p>
      <w:pPr>
        <w:numPr>
          <w:ilvl w:val="0"/>
          <w:numId w:val="1004"/>
        </w:numPr>
        <w:pStyle w:val="Compact"/>
      </w:pPr>
      <w:r>
        <w:t xml:space="preserve">Colombian Ministry of Environment. (2019). *Circular Economy Law 1950*. National Environmental Policy Framework.</w:t>
      </w:r>
    </w:p>
    <w:p>
      <w:pPr>
        <w:numPr>
          <w:ilvl w:val="0"/>
          <w:numId w:val="1004"/>
        </w:numPr>
        <w:pStyle w:val="Compact"/>
      </w:pPr>
      <w:r>
        <w:t xml:space="preserve">ITU. (2023). *Digital Inclusion Metrics: Colombia’s Smart City Progress*. International Telecommunication Union.</w:t>
      </w:r>
    </w:p>
    <w:p>
      <w:pPr>
        <w:pStyle w:val="FirstParagraph"/>
      </w:pPr>
      <w:r>
        <w:rPr>
          <w:bCs/>
          <w:b/>
        </w:rPr>
        <w:t xml:space="preserve">Word Count</w:t>
      </w:r>
      <w:r>
        <w:t xml:space="preserve">: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Service Innovation for Urban Mobility in Medellín, Colombia</dc:title>
  <dc:creator/>
  <dc:language>en</dc:language>
  <cp:keywords/>
  <dcterms:created xsi:type="dcterms:W3CDTF">2025-12-11T11:45:23Z</dcterms:created>
  <dcterms:modified xsi:type="dcterms:W3CDTF">2025-12-11T11:45:23Z</dcterms:modified>
</cp:coreProperties>
</file>

<file path=docProps/custom.xml><?xml version="1.0" encoding="utf-8"?>
<Properties xmlns="http://schemas.openxmlformats.org/officeDocument/2006/custom-properties" xmlns:vt="http://schemas.openxmlformats.org/officeDocument/2006/docPropsVTypes"/>
</file>