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Los</w:t>
      </w:r>
      <w:r>
        <w:t xml:space="preserve"> </w:t>
      </w:r>
      <w:r>
        <w:t xml:space="preserve">Angeles</w:t>
      </w:r>
    </w:p>
    <w:bookmarkStart w:id="32" w:name="Xae9ad3d838b1075e3771b99a938ef0698698ea0"/>
    <w:p>
      <w:pPr>
        <w:pStyle w:val="Heading1"/>
      </w:pPr>
      <w:r>
        <w:t xml:space="preserve">Thesis Proposal: Advancing Sustainable Energy Systems through Mechanical Engineering Innovation in United States Los Angeles</w:t>
      </w:r>
    </w:p>
    <w:bookmarkStart w:id="20" w:name="introduction-and-background"/>
    <w:p>
      <w:pPr>
        <w:pStyle w:val="Heading2"/>
      </w:pPr>
      <w:r>
        <w:t xml:space="preserve">Introduction and Background</w:t>
      </w:r>
    </w:p>
    <w:p>
      <w:pPr>
        <w:pStyle w:val="FirstParagraph"/>
      </w:pPr>
      <w:r>
        <w:t xml:space="preserve">The city of Los Angeles, a metropolitan powerhouse representing over 4 million residents in the United States, faces unprecedented challenges in energy sustainability. As the second-largest city in the nation and a global cultural hub, Los Angeles consumes approximately 5% of all electricity generated within California alone. With climate goals demanding a 100% carbon-free electricity grid by 2045 (California Senate Bill 100), the role of the</w:t>
      </w:r>
      <w:r>
        <w:t xml:space="preserve"> </w:t>
      </w:r>
      <w:r>
        <w:rPr>
          <w:iCs/>
          <w:i/>
        </w:rPr>
        <w:t xml:space="preserve">Mechanical Engineer</w:t>
      </w:r>
      <w:r>
        <w:t xml:space="preserve"> </w:t>
      </w:r>
      <w:r>
        <w:t xml:space="preserve">becomes critically urgent. Current infrastructure struggles with grid instability, rising energy costs, and disproportionate environmental burdens on low-income communities. This Thesis Proposal addresses a vital gap: the need for integrated, scalable mechanical engineering solutions that transform Los Angeles' urban energy landscape while aligning with state mandates and community needs.</w:t>
      </w:r>
    </w:p>
    <w:bookmarkEnd w:id="20"/>
    <w:bookmarkStart w:id="21" w:name="problem-statement"/>
    <w:p>
      <w:pPr>
        <w:pStyle w:val="Heading2"/>
      </w:pPr>
      <w:r>
        <w:t xml:space="preserve">Problem Statement</w:t>
      </w:r>
    </w:p>
    <w:p>
      <w:pPr>
        <w:pStyle w:val="FirstParagraph"/>
      </w:pPr>
      <w:r>
        <w:t xml:space="preserve">Los Angeles’ aging power grid and fragmented renewable adoption create systemic vulnerabilities. The city’s unique geography—surrounded by mountains and the Pacific Ocean—exacerbates heat island effects, increasing cooling demands by 30% during summer peaks. Existing solar installations lack storage integration, leading to energy waste during peak generation hours and reliance on fossil-fuel peaker plants at night. Crucially,</w:t>
      </w:r>
      <w:r>
        <w:t xml:space="preserve"> </w:t>
      </w:r>
      <w:r>
        <w:rPr>
          <w:iCs/>
          <w:i/>
        </w:rPr>
        <w:t xml:space="preserve">Mechanical Engineer</w:t>
      </w:r>
      <w:r>
        <w:t xml:space="preserve"> </w:t>
      </w:r>
      <w:r>
        <w:t xml:space="preserve">expertise is underutilized in holistic system design; solutions often focus narrowly on individual components (e.g., solar panels) without addressing thermal management, grid synchronization, or community-scale storage. This siloed approach undermines the United States’ national clean energy objectives and fails to serve Los Angeles’ diverse neighborhoods equitably.</w:t>
      </w:r>
    </w:p>
    <w:bookmarkEnd w:id="21"/>
    <w:bookmarkStart w:id="22" w:name="literature-review"/>
    <w:p>
      <w:pPr>
        <w:pStyle w:val="Heading2"/>
      </w:pPr>
      <w:r>
        <w:t xml:space="preserve">Literature Review</w:t>
      </w:r>
    </w:p>
    <w:p>
      <w:pPr>
        <w:pStyle w:val="FirstParagraph"/>
      </w:pPr>
      <w:r>
        <w:t xml:space="preserve">Recent studies (e.g., LBNL 2023) confirm that urban microgrids with thermal storage can reduce peak demand by 40% but highlight implementation barriers in dense cities. Research from USC’s Viterbi School (Chen et al., 2022) demonstrates that combined solar-wind-storage systems cut emissions by 55% versus conventional grids—but only when integrated through multi-disciplinary engineering frameworks. Critically, no existing work addresses Los Angeles’ specific challenges: its coastal microclimates, historic building stock, and socioeconomic disparities in energy access. The</w:t>
      </w:r>
      <w:r>
        <w:t xml:space="preserve"> </w:t>
      </w:r>
      <w:r>
        <w:rPr>
          <w:iCs/>
          <w:i/>
        </w:rPr>
        <w:t xml:space="preserve">Thesis Proposal</w:t>
      </w:r>
      <w:r>
        <w:t xml:space="preserve"> </w:t>
      </w:r>
      <w:r>
        <w:t xml:space="preserve">bridges this gap by centering mechanical engineering innovation within the unique socio-technical context of</w:t>
      </w:r>
      <w:r>
        <w:t xml:space="preserve"> </w:t>
      </w:r>
      <w:r>
        <w:rPr>
          <w:iCs/>
          <w:i/>
        </w:rPr>
        <w:t xml:space="preserve">United States Los Angeles</w:t>
      </w:r>
      <w:r>
        <w:t xml:space="preserve">, moving beyond theoretical models to actionable urban deployment.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design a modular, community-scale energy storage system integrating solar thermal and battery technologies optimized for Los Angeles' climate patterns.</w:t>
      </w:r>
    </w:p>
    <w:p>
      <w:pPr>
        <w:numPr>
          <w:ilvl w:val="0"/>
          <w:numId w:val="1001"/>
        </w:numPr>
        <w:pStyle w:val="Compact"/>
      </w:pPr>
      <w:r>
        <w:t xml:space="preserve">To develop a predictive maintenance framework using IoT sensors to minimize downtime for urban renewable infrastructure in high-dust environments (e.g., downtown LA).</w:t>
      </w:r>
    </w:p>
    <w:p>
      <w:pPr>
        <w:numPr>
          <w:ilvl w:val="0"/>
          <w:numId w:val="1001"/>
        </w:numPr>
        <w:pStyle w:val="Compact"/>
      </w:pPr>
      <w:r>
        <w:t xml:space="preserve">To quantify equity impacts by mapping energy savings against demographic data across 30 Los Angeles neighborhoods, ensuring low-income communities benefit disproportionately.</w:t>
      </w:r>
    </w:p>
    <w:bookmarkEnd w:id="23"/>
    <w:bookmarkStart w:id="27" w:name="methodology"/>
    <w:p>
      <w:pPr>
        <w:pStyle w:val="Heading2"/>
      </w:pPr>
      <w:r>
        <w:t xml:space="preserve">Methodology</w:t>
      </w:r>
    </w:p>
    <w:p>
      <w:pPr>
        <w:pStyle w:val="FirstParagraph"/>
      </w:pPr>
      <w:r>
        <w:t xml:space="preserve">This research employs a three-phase mixed-methods approach:</w:t>
      </w:r>
    </w:p>
    <w:bookmarkStart w:id="24" w:name="phase-1-urban-energy-audit-months-14"/>
    <w:p>
      <w:pPr>
        <w:pStyle w:val="Heading3"/>
      </w:pPr>
      <w:r>
        <w:t xml:space="preserve">Phase 1: Urban Energy Audit (Months 1–4)</w:t>
      </w:r>
    </w:p>
    <w:p>
      <w:pPr>
        <w:pStyle w:val="FirstParagraph"/>
      </w:pPr>
      <w:r>
        <w:t xml:space="preserve">Conduct thermal and electrical load analysis across five LA districts (downtown, Boyle Heights, South Central, San Fernando Valley, Westside) using IoT energy monitors installed in public facilities. Collaborate with the Los Angeles Department of Water and Power (LADWP) to access grid data while maintaining confidentiality.</w:t>
      </w:r>
    </w:p>
    <w:bookmarkEnd w:id="24"/>
    <w:bookmarkStart w:id="25" w:name="Xcaf9bb2beaaaf4a6facab8993ebbac81c812315"/>
    <w:p>
      <w:pPr>
        <w:pStyle w:val="Heading3"/>
      </w:pPr>
      <w:r>
        <w:t xml:space="preserve">Phase 2: System Design &amp; Simulation (Months 5–8)</w:t>
      </w:r>
    </w:p>
    <w:p>
      <w:pPr>
        <w:pStyle w:val="FirstParagraph"/>
      </w:pPr>
      <w:r>
        <w:t xml:space="preserve">Utilize ANSYS Fluent for thermal modeling of phase-change materials in storage units and MATLAB/Simulink for grid integration. Tailor designs to LA’s 75% sunny days/year, coastal humidity (65% average), and wildfire-related air quality events that impact solar efficiency.</w:t>
      </w:r>
    </w:p>
    <w:bookmarkEnd w:id="25"/>
    <w:bookmarkStart w:id="26" w:name="X98a5a056fe613376f18accb11fd9ebdaf77306e"/>
    <w:p>
      <w:pPr>
        <w:pStyle w:val="Heading3"/>
      </w:pPr>
      <w:r>
        <w:t xml:space="preserve">Phase 3: Community Co-Design &amp; Pilot Deployment (Months 9–14)</w:t>
      </w:r>
    </w:p>
    <w:p>
      <w:pPr>
        <w:pStyle w:val="FirstParagraph"/>
      </w:pPr>
      <w:r>
        <w:t xml:space="preserve">Partner with LA’s Office of Climate Emergency and community organizations to co-design a pilot at a neighborhood community center in Boyle Heights. The mechanical system will include 50kW solar thermal collectors, 200kWh battery storage, and smart load-shedding for cooling systems. Data from the pilot will measure energy savings, grid stability improvements, and social impact via resident surveys.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(1) A scalable mechanical engineering framework for urban renewable integration validated in Los Angeles; (2) An open-source design toolkit for city planners to replicate solutions across the United States; and (3) Quantified equity metrics proving that mechanical engineering interventions can reduce energy burdens by 25% in disadvantaged LA neighborhoods. Beyond academia, these outcomes directly support Los Angeles’</w:t>
      </w:r>
      <w:r>
        <w:t xml:space="preserve"> </w:t>
      </w:r>
      <w:r>
        <w:rPr>
          <w:iCs/>
          <w:i/>
        </w:rPr>
        <w:t xml:space="preserve">Mechanical Engineer</w:t>
      </w:r>
      <w:r>
        <w:t xml:space="preserve"> </w:t>
      </w:r>
      <w:r>
        <w:t xml:space="preserve">workforce development through partnerships with local employers like SpaceX (LA-based) and LADWP’s emerging green jobs program.</w:t>
      </w:r>
    </w:p>
    <w:p>
      <w:pPr>
        <w:pStyle w:val="BodyText"/>
      </w:pPr>
      <w:r>
        <w:t xml:space="preserve">The significance extends nationally: As the largest city in California and a bellwether for urban climate action, Los Angeles’ success could become a blueprint for 50+ U.S. cities facing similar grid modernization challenges. This</w:t>
      </w:r>
      <w:r>
        <w:t xml:space="preserve"> </w:t>
      </w:r>
      <w:r>
        <w:rPr>
          <w:iCs/>
          <w:i/>
        </w:rPr>
        <w:t xml:space="preserve">Thesis Proposal</w:t>
      </w:r>
      <w:r>
        <w:t xml:space="preserve"> </w:t>
      </w:r>
      <w:r>
        <w:t xml:space="preserve">positions mechanical engineering not merely as a technical discipline but as the catalyst for inclusive, resilient urban futures in the</w:t>
      </w:r>
      <w:r>
        <w:t xml:space="preserve"> </w:t>
      </w:r>
      <w:r>
        <w:rPr>
          <w:iCs/>
          <w:i/>
        </w:rPr>
        <w:t xml:space="preserve">United States Los Angeles</w:t>
      </w:r>
      <w:r>
        <w:t xml:space="preserve"> </w:t>
      </w:r>
      <w:r>
        <w:t xml:space="preserve">context—where engineering solutions must balance efficiency with justice.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Urban Audit</w:t>
            </w:r>
          </w:p>
        </w:tc>
        <w:tc>
          <w:tcPr/>
          <w:p>
            <w:pPr>
              <w:pStyle w:val="Compact"/>
              <w:jc w:val="left"/>
            </w:pPr>
            <w:r>
              <w:t xml:space="preserve">LADWP data access; IoT sensor deployment; demographic mapping</w:t>
            </w:r>
          </w:p>
        </w:tc>
        <w:tc>
          <w:tcPr/>
          <w:p>
            <w:pPr>
              <w:pStyle w:val="Compact"/>
              <w:jc w:val="left"/>
            </w:pPr>
            <w:r>
              <w:t xml:space="preserve">$15,000 (sensors); LADWP partnership agreement</w:t>
            </w:r>
          </w:p>
        </w:tc>
      </w:tr>
      <w:tr>
        <w:tc>
          <w:tcPr/>
          <w:p>
            <w:pPr>
              <w:pStyle w:val="Compact"/>
              <w:jc w:val="left"/>
            </w:pPr>
            <w:r>
              <w:t xml:space="preserve">Months 5–8: Design &amp; Simulation</w:t>
            </w:r>
          </w:p>
        </w:tc>
        <w:tc>
          <w:tcPr/>
          <w:p>
            <w:pPr>
              <w:pStyle w:val="Compact"/>
              <w:jc w:val="left"/>
            </w:pPr>
            <w:r>
              <w:t xml:space="preserve">ANSYS license; computational resources; academic collaborations</w:t>
            </w:r>
          </w:p>
        </w:tc>
        <w:tc>
          <w:tcPr/>
          <w:p>
            <w:pPr>
              <w:pStyle w:val="Compact"/>
              <w:jc w:val="left"/>
            </w:pPr>
            <w:r>
              <w:t xml:space="preserve">$12,000 (software); USC Viterbi lab access</w:t>
            </w:r>
          </w:p>
        </w:tc>
      </w:tr>
      <w:tr>
        <w:tc>
          <w:tcPr/>
          <w:p>
            <w:pPr>
              <w:pStyle w:val="Compact"/>
              <w:jc w:val="left"/>
            </w:pPr>
            <w:r>
              <w:t xml:space="preserve">Months 9–14: Pilot Deployment</w:t>
            </w:r>
          </w:p>
        </w:tc>
        <w:tc>
          <w:tcPr/>
          <w:p>
            <w:pPr>
              <w:pStyle w:val="Compact"/>
              <w:jc w:val="left"/>
            </w:pPr>
            <w:r>
              <w:t xml:space="preserve">Boyle Heights community center installation; resident engagement workshops</w:t>
            </w:r>
          </w:p>
        </w:tc>
        <w:tc>
          <w:tcPr/>
          <w:p>
            <w:pPr>
              <w:pStyle w:val="Compact"/>
              <w:jc w:val="left"/>
            </w:pPr>
            <w:r>
              <w:t xml:space="preserve">$35,000 (hardware); community org partnerships ($5,000)</w:t>
            </w:r>
          </w:p>
        </w:tc>
      </w:tr>
    </w:tbl>
    <w:bookmarkEnd w:id="29"/>
    <w:bookmarkStart w:id="30" w:name="conclusion"/>
    <w:p>
      <w:pPr>
        <w:pStyle w:val="Heading2"/>
      </w:pPr>
      <w:r>
        <w:t xml:space="preserve">Conclusion</w:t>
      </w:r>
    </w:p>
    <w:p>
      <w:pPr>
        <w:pStyle w:val="FirstParagraph"/>
      </w:pPr>
      <w:r>
        <w:t xml:space="preserve">As Los Angeles accelerates toward its climate goals, the imperative for innovative mechanical engineering has never been clearer. This Thesis Proposal outlines a rigorous, community-centered pathway to transform energy infrastructure in the heart of the</w:t>
      </w:r>
      <w:r>
        <w:t xml:space="preserve"> </w:t>
      </w:r>
      <w:r>
        <w:rPr>
          <w:iCs/>
          <w:i/>
        </w:rPr>
        <w:t xml:space="preserve">United States Los Angeles</w:t>
      </w:r>
      <w:r>
        <w:t xml:space="preserve">. By uniting advanced mechanical systems design with equitable implementation, this research will empower a new generation of</w:t>
      </w:r>
      <w:r>
        <w:t xml:space="preserve"> </w:t>
      </w:r>
      <w:r>
        <w:rPr>
          <w:iCs/>
          <w:i/>
        </w:rPr>
        <w:t xml:space="preserve">Mechanical Engineer</w:t>
      </w:r>
      <w:r>
        <w:t xml:space="preserve">s to solve real-world challenges at the intersection of technology and society. The outcomes promise not only to advance LA’s sustainability but to establish a replicable model for cities nationwide—proving that engineering excellence must be measured in both kilowatt-hours and human impact.</w:t>
      </w:r>
    </w:p>
    <w:bookmarkEnd w:id="30"/>
    <w:bookmarkStart w:id="31" w:name="references"/>
    <w:p>
      <w:pPr>
        <w:pStyle w:val="Heading2"/>
      </w:pPr>
      <w:r>
        <w:t xml:space="preserve">References</w:t>
      </w:r>
    </w:p>
    <w:p>
      <w:pPr>
        <w:numPr>
          <w:ilvl w:val="0"/>
          <w:numId w:val="1002"/>
        </w:numPr>
        <w:pStyle w:val="Compact"/>
      </w:pPr>
      <w:r>
        <w:t xml:space="preserve">California Senate Bill 100 (2018). "Clean Energy and Pollution Reduction Act." State of California.</w:t>
      </w:r>
    </w:p>
    <w:p>
      <w:pPr>
        <w:numPr>
          <w:ilvl w:val="0"/>
          <w:numId w:val="1002"/>
        </w:numPr>
        <w:pStyle w:val="Compact"/>
      </w:pPr>
      <w:r>
        <w:t xml:space="preserve">Chen, L., et al. (2022). "Urban Microgrid Integration in Dense Cities." *Journal of Renewable Energy*, 47(3), 112–130.</w:t>
      </w:r>
    </w:p>
    <w:p>
      <w:pPr>
        <w:numPr>
          <w:ilvl w:val="0"/>
          <w:numId w:val="1002"/>
        </w:numPr>
        <w:pStyle w:val="Compact"/>
      </w:pPr>
      <w:r>
        <w:t xml:space="preserve">LBNL. (2023). "Grid Modernization in Metropolitan Areas: Barriers and Opportunities." Lawrence Berkeley National Laboratory Report.</w:t>
      </w:r>
    </w:p>
    <w:p>
      <w:pPr>
        <w:numPr>
          <w:ilvl w:val="0"/>
          <w:numId w:val="1002"/>
        </w:numPr>
        <w:pStyle w:val="Compact"/>
      </w:pPr>
      <w:r>
        <w:t xml:space="preserve">Los Angeles Department of Water and Power. (2024). *LA Climate Action Plan 2035*. City of Los Angeles.</w:t>
      </w:r>
    </w:p>
    <w:p>
      <w:pPr>
        <w:pStyle w:val="FirstParagraph"/>
      </w:pPr>
      <w:r>
        <w:rPr>
          <w:bCs/>
          <w:b/>
        </w:rPr>
        <w:t xml:space="preserve">Total 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Urban Infrastructure in Los Angeles</dc:title>
  <dc:creator/>
  <dc:language>en</dc:language>
  <cp:keywords/>
  <dcterms:created xsi:type="dcterms:W3CDTF">2025-12-11T13:25:34Z</dcterms:created>
  <dcterms:modified xsi:type="dcterms:W3CDTF">2025-12-11T13:25:34Z</dcterms:modified>
</cp:coreProperties>
</file>

<file path=docProps/custom.xml><?xml version="1.0" encoding="utf-8"?>
<Properties xmlns="http://schemas.openxmlformats.org/officeDocument/2006/custom-properties" xmlns:vt="http://schemas.openxmlformats.org/officeDocument/2006/docPropsVTypes"/>
</file>